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4814" w14:textId="77777777" w:rsidR="00154D62" w:rsidRPr="00154D62" w:rsidRDefault="00154D62" w:rsidP="00154D62">
      <w:r w:rsidRPr="00154D62">
        <w:rPr>
          <w:b/>
          <w:bCs/>
        </w:rPr>
        <w:t>Subject:</w:t>
      </w:r>
      <w:r w:rsidRPr="00154D62">
        <w:t> Strategic Opportunity: Attend BioProcess International 2025 to Advance Client Engagement and Technical Positioning</w:t>
      </w:r>
    </w:p>
    <w:p w14:paraId="1C80E981" w14:textId="77777777" w:rsidR="00154D62" w:rsidRPr="00154D62" w:rsidRDefault="00154D62" w:rsidP="00154D62">
      <w:r w:rsidRPr="00154D62">
        <w:t>Dear [Boss’s Name],</w:t>
      </w:r>
    </w:p>
    <w:p w14:paraId="188AC339" w14:textId="77777777" w:rsidR="00154D62" w:rsidRPr="00154D62" w:rsidRDefault="00154D62" w:rsidP="00154D62">
      <w:r w:rsidRPr="00154D62">
        <w:t>I’d like to request approval to attend the </w:t>
      </w:r>
      <w:r w:rsidRPr="00154D62">
        <w:rPr>
          <w:b/>
          <w:bCs/>
        </w:rPr>
        <w:t>BioProcess International Conference &amp; Exhibition</w:t>
      </w:r>
      <w:r w:rsidRPr="00154D62">
        <w:t>, taking place </w:t>
      </w:r>
      <w:r w:rsidRPr="00154D62">
        <w:rPr>
          <w:b/>
          <w:bCs/>
        </w:rPr>
        <w:t>September 15–18, 2025 in Boston</w:t>
      </w:r>
      <w:r w:rsidRPr="00154D62">
        <w:t>. BPI is the </w:t>
      </w:r>
      <w:r w:rsidRPr="00154D62">
        <w:rPr>
          <w:b/>
          <w:bCs/>
        </w:rPr>
        <w:t>largest bioprocessing event in North America</w:t>
      </w:r>
      <w:r w:rsidRPr="00154D62">
        <w:t>, attracting over 3,200 professionals across biopharma, biotech, CDMOs, and emerging therapeutic platforms.</w:t>
      </w:r>
    </w:p>
    <w:p w14:paraId="1E700E84" w14:textId="77777777" w:rsidR="00154D62" w:rsidRPr="00154D62" w:rsidRDefault="00154D62" w:rsidP="00154D62">
      <w:r w:rsidRPr="00154D62">
        <w:t>As a [business development / applications / technical expert], my attendance will directly support our commercial goals by deepening client engagement, strengthening our technical credibility, and helping us stay ahead of the trends shaping our customers’ decisions.</w:t>
      </w:r>
    </w:p>
    <w:p w14:paraId="4BE9A941" w14:textId="77777777" w:rsidR="00154D62" w:rsidRPr="00154D62" w:rsidRDefault="00154D62" w:rsidP="00154D62">
      <w:r w:rsidRPr="00154D62">
        <w:pict w14:anchorId="15EADB52">
          <v:rect id="_x0000_i1055" style="width:468pt;height:1pt" o:hralign="center" o:hrstd="t" o:hr="t" fillcolor="#a0a0a0" stroked="f"/>
        </w:pict>
      </w:r>
    </w:p>
    <w:p w14:paraId="5E0F1181" w14:textId="77777777" w:rsidR="00154D62" w:rsidRPr="00154D62" w:rsidRDefault="00154D62" w:rsidP="00154D62">
      <w:pPr>
        <w:rPr>
          <w:b/>
          <w:bCs/>
        </w:rPr>
      </w:pPr>
      <w:r w:rsidRPr="00154D62">
        <w:rPr>
          <w:rFonts w:ascii="Segoe UI Emoji" w:hAnsi="Segoe UI Emoji" w:cs="Segoe UI Emoji"/>
          <w:b/>
          <w:bCs/>
        </w:rPr>
        <w:t>🎯</w:t>
      </w:r>
      <w:r w:rsidRPr="00154D62">
        <w:rPr>
          <w:b/>
          <w:bCs/>
        </w:rPr>
        <w:t xml:space="preserve"> Why It’s Valuable for Us to Attend as Delegates</w:t>
      </w:r>
    </w:p>
    <w:p w14:paraId="031F7B7A" w14:textId="77777777" w:rsidR="00154D62" w:rsidRPr="00154D62" w:rsidRDefault="00154D62" w:rsidP="00154D62">
      <w:r w:rsidRPr="00154D62">
        <w:rPr>
          <w:b/>
          <w:bCs/>
        </w:rPr>
        <w:t>1. Connect Directly with Decision-Makers</w:t>
      </w:r>
      <w:r w:rsidRPr="00154D62">
        <w:br/>
        <w:t>This event brings together upstream, downstream, analytical, and manufacturing leaders from the world’s top pharma and biotech companies—including the very teams we aim to support. By attending as a delegate, I can:</w:t>
      </w:r>
    </w:p>
    <w:p w14:paraId="69D0A33A" w14:textId="77777777" w:rsidR="00154D62" w:rsidRPr="00154D62" w:rsidRDefault="00154D62" w:rsidP="00154D62">
      <w:pPr>
        <w:numPr>
          <w:ilvl w:val="0"/>
          <w:numId w:val="1"/>
        </w:numPr>
      </w:pPr>
      <w:r w:rsidRPr="00154D62">
        <w:t>Schedule 1:1 meetings via BPI’s partnering platform</w:t>
      </w:r>
    </w:p>
    <w:p w14:paraId="0412D2D9" w14:textId="77777777" w:rsidR="00154D62" w:rsidRPr="00154D62" w:rsidRDefault="00154D62" w:rsidP="00154D62">
      <w:pPr>
        <w:numPr>
          <w:ilvl w:val="0"/>
          <w:numId w:val="1"/>
        </w:numPr>
      </w:pPr>
      <w:r w:rsidRPr="00154D62">
        <w:t>Engage informally at receptions and technical sessions</w:t>
      </w:r>
    </w:p>
    <w:p w14:paraId="612F9317" w14:textId="77777777" w:rsidR="00154D62" w:rsidRPr="00154D62" w:rsidRDefault="00154D62" w:rsidP="00154D62">
      <w:pPr>
        <w:numPr>
          <w:ilvl w:val="0"/>
          <w:numId w:val="1"/>
        </w:numPr>
      </w:pPr>
      <w:r w:rsidRPr="00154D62">
        <w:t>Spot and initiate conversations with future clients in real time</w:t>
      </w:r>
    </w:p>
    <w:p w14:paraId="792AC566" w14:textId="77777777" w:rsidR="00154D62" w:rsidRPr="00154D62" w:rsidRDefault="00154D62" w:rsidP="00154D62">
      <w:r w:rsidRPr="00154D62">
        <w:rPr>
          <w:b/>
          <w:bCs/>
        </w:rPr>
        <w:t>2. Understand What Clients Truly Need</w:t>
      </w:r>
      <w:r w:rsidRPr="00154D62">
        <w:br/>
        <w:t>The sessions at BPI cover the </w:t>
      </w:r>
      <w:r w:rsidRPr="00154D62">
        <w:rPr>
          <w:b/>
          <w:bCs/>
        </w:rPr>
        <w:t>real-world challenges</w:t>
      </w:r>
      <w:r w:rsidRPr="00154D62">
        <w:t> that scientists, engineers, and CMC leaders are facing. Topics like process intensification, gene therapy scale-up, analytical comparability, and regulatory expectations are driving vendor and partner selection. Knowing these pain points firsthand gives us a competitive advantage in how we frame our value and solutions.</w:t>
      </w:r>
    </w:p>
    <w:p w14:paraId="78E3D768" w14:textId="77777777" w:rsidR="00154D62" w:rsidRPr="00154D62" w:rsidRDefault="00154D62" w:rsidP="00154D62">
      <w:r w:rsidRPr="00154D62">
        <w:rPr>
          <w:b/>
          <w:bCs/>
        </w:rPr>
        <w:t>3. Benchmark Against Competitors and Peers</w:t>
      </w:r>
      <w:r w:rsidRPr="00154D62">
        <w:br/>
        <w:t>BPI draws a wide array of suppliers, CDMOs, equipment vendors, and software providers. Attending allows me to observe how others are positioning their offerings, what messaging is resonating, and how we can refine our differentiation strategy.</w:t>
      </w:r>
    </w:p>
    <w:p w14:paraId="57CBACA3" w14:textId="431A90B4" w:rsidR="00154D62" w:rsidRPr="00154D62" w:rsidRDefault="00154D62" w:rsidP="00154D62">
      <w:r w:rsidRPr="00154D62">
        <w:rPr>
          <w:b/>
          <w:bCs/>
        </w:rPr>
        <w:t>4. Build Strategic Relationships</w:t>
      </w:r>
      <w:r w:rsidRPr="00154D62">
        <w:br/>
        <w:t xml:space="preserve">The attendee base isn’t limited to end users—it also includes potential collaborators, channel partners, investors, and licensing scouts. </w:t>
      </w:r>
    </w:p>
    <w:p w14:paraId="3BAACCCC" w14:textId="77777777" w:rsidR="00154D62" w:rsidRPr="00154D62" w:rsidRDefault="00154D62" w:rsidP="00154D62">
      <w:r w:rsidRPr="00154D62">
        <w:rPr>
          <w:b/>
          <w:bCs/>
        </w:rPr>
        <w:t>5. Stay Technically Current</w:t>
      </w:r>
      <w:r w:rsidRPr="00154D62">
        <w:br/>
        <w:t>As our offering supports complex biologics or cell/gene therapy pipelines, it’s important that I stay up to date on </w:t>
      </w:r>
      <w:r w:rsidRPr="00154D62">
        <w:rPr>
          <w:b/>
          <w:bCs/>
        </w:rPr>
        <w:t>emerging modalities, regulatory shifts, and manufacturing bottlenecks</w:t>
      </w:r>
      <w:r w:rsidRPr="00154D62">
        <w:t>. This strengthens how we engage customers—not just as a supplier, but as a trusted technical partner.</w:t>
      </w:r>
    </w:p>
    <w:p w14:paraId="227F70F3" w14:textId="77777777" w:rsidR="00154D62" w:rsidRPr="00154D62" w:rsidRDefault="00154D62" w:rsidP="00154D62">
      <w:r w:rsidRPr="00154D62">
        <w:pict w14:anchorId="6DECA404">
          <v:rect id="_x0000_i1056" style="width:468pt;height:1pt" o:hralign="center" o:hrstd="t" o:hr="t" fillcolor="#a0a0a0" stroked="f"/>
        </w:pict>
      </w:r>
    </w:p>
    <w:p w14:paraId="0E1CCEA8" w14:textId="77777777" w:rsidR="00154D62" w:rsidRPr="00154D62" w:rsidRDefault="00154D62" w:rsidP="00154D62">
      <w:pPr>
        <w:rPr>
          <w:b/>
          <w:bCs/>
        </w:rPr>
      </w:pPr>
      <w:r w:rsidRPr="00154D62">
        <w:rPr>
          <w:rFonts w:ascii="Segoe UI Emoji" w:hAnsi="Segoe UI Emoji" w:cs="Segoe UI Emoji"/>
          <w:b/>
          <w:bCs/>
        </w:rPr>
        <w:t>📥</w:t>
      </w:r>
      <w:r w:rsidRPr="00154D62">
        <w:rPr>
          <w:b/>
          <w:bCs/>
        </w:rPr>
        <w:t xml:space="preserve"> Extend the Value: Post-Event Access to Technical Content</w:t>
      </w:r>
    </w:p>
    <w:p w14:paraId="0230B53D" w14:textId="77777777" w:rsidR="00154D62" w:rsidRPr="00154D62" w:rsidRDefault="00154D62" w:rsidP="00154D62">
      <w:r w:rsidRPr="00154D62">
        <w:lastRenderedPageBreak/>
        <w:t>Delegate registration includes </w:t>
      </w:r>
      <w:r w:rsidRPr="00154D62">
        <w:rPr>
          <w:b/>
          <w:bCs/>
        </w:rPr>
        <w:t>full access to session recordings and slides</w:t>
      </w:r>
      <w:r w:rsidRPr="00154D62">
        <w:t> after the event—enabling me to:</w:t>
      </w:r>
    </w:p>
    <w:p w14:paraId="21A58D19" w14:textId="77777777" w:rsidR="00154D62" w:rsidRPr="00154D62" w:rsidRDefault="00154D62" w:rsidP="00154D62">
      <w:pPr>
        <w:numPr>
          <w:ilvl w:val="0"/>
          <w:numId w:val="2"/>
        </w:numPr>
      </w:pPr>
      <w:r w:rsidRPr="00154D62">
        <w:t>Review and revisit sessions most relevant to our customer base</w:t>
      </w:r>
    </w:p>
    <w:p w14:paraId="6722CACE" w14:textId="77777777" w:rsidR="00154D62" w:rsidRPr="00154D62" w:rsidRDefault="00154D62" w:rsidP="00154D62">
      <w:pPr>
        <w:numPr>
          <w:ilvl w:val="0"/>
          <w:numId w:val="2"/>
        </w:numPr>
      </w:pPr>
      <w:r w:rsidRPr="00154D62">
        <w:t>Share curated insights with the sales, product, and leadership teams</w:t>
      </w:r>
    </w:p>
    <w:p w14:paraId="3CCB1FB2" w14:textId="77777777" w:rsidR="00154D62" w:rsidRPr="00154D62" w:rsidRDefault="00154D62" w:rsidP="00154D62">
      <w:pPr>
        <w:numPr>
          <w:ilvl w:val="0"/>
          <w:numId w:val="2"/>
        </w:numPr>
      </w:pPr>
      <w:r w:rsidRPr="00154D62">
        <w:t>Build a content library that can support future campaigns or sales tools</w:t>
      </w:r>
    </w:p>
    <w:p w14:paraId="578BC7DB" w14:textId="77777777" w:rsidR="00154D62" w:rsidRPr="00154D62" w:rsidRDefault="00154D62" w:rsidP="00154D62">
      <w:r w:rsidRPr="00154D62">
        <w:t>This multiplies the value of attendance over the long term.</w:t>
      </w:r>
    </w:p>
    <w:p w14:paraId="287EEE62" w14:textId="77777777" w:rsidR="00154D62" w:rsidRPr="00154D62" w:rsidRDefault="00154D62" w:rsidP="00154D62">
      <w:r w:rsidRPr="00154D62">
        <w:pict w14:anchorId="2A5D1561">
          <v:rect id="_x0000_i1057" style="width:468pt;height:1pt" o:hralign="center" o:hrstd="t" o:hr="t" fillcolor="#a0a0a0" stroked="f"/>
        </w:pict>
      </w:r>
    </w:p>
    <w:p w14:paraId="288BE691" w14:textId="77777777" w:rsidR="00154D62" w:rsidRPr="00154D62" w:rsidRDefault="00154D62" w:rsidP="00154D62">
      <w:pPr>
        <w:rPr>
          <w:b/>
          <w:bCs/>
        </w:rPr>
      </w:pPr>
      <w:r w:rsidRPr="00154D62">
        <w:rPr>
          <w:rFonts w:ascii="Segoe UI Emoji" w:hAnsi="Segoe UI Emoji" w:cs="Segoe UI Emoji"/>
          <w:b/>
          <w:bCs/>
        </w:rPr>
        <w:t>✅</w:t>
      </w:r>
      <w:r w:rsidRPr="00154D62">
        <w:rPr>
          <w:b/>
          <w:bCs/>
        </w:rPr>
        <w:t xml:space="preserve"> Business &amp; Technical Benefits to [Company Name]</w:t>
      </w:r>
    </w:p>
    <w:tbl>
      <w:tblPr>
        <w:tblW w:w="0" w:type="auto"/>
        <w:tblCellSpacing w:w="15" w:type="dxa"/>
        <w:tblLook w:val="04A0" w:firstRow="1" w:lastRow="0" w:firstColumn="1" w:lastColumn="0" w:noHBand="0" w:noVBand="1"/>
      </w:tblPr>
      <w:tblGrid>
        <w:gridCol w:w="1950"/>
        <w:gridCol w:w="7076"/>
      </w:tblGrid>
      <w:tr w:rsidR="00154D62" w:rsidRPr="00154D62" w14:paraId="0FA47D7E" w14:textId="77777777" w:rsidTr="00154D62">
        <w:trPr>
          <w:tblHeader/>
          <w:tblCellSpacing w:w="15" w:type="dxa"/>
        </w:trPr>
        <w:tc>
          <w:tcPr>
            <w:tcW w:w="0" w:type="auto"/>
            <w:tcMar>
              <w:top w:w="15" w:type="dxa"/>
              <w:left w:w="15" w:type="dxa"/>
              <w:bottom w:w="15" w:type="dxa"/>
              <w:right w:w="15" w:type="dxa"/>
            </w:tcMar>
            <w:vAlign w:val="center"/>
            <w:hideMark/>
          </w:tcPr>
          <w:p w14:paraId="1A190EA9" w14:textId="77777777" w:rsidR="00154D62" w:rsidRPr="00154D62" w:rsidRDefault="00154D62" w:rsidP="00154D62">
            <w:pPr>
              <w:rPr>
                <w:b/>
                <w:bCs/>
              </w:rPr>
            </w:pPr>
            <w:r w:rsidRPr="00154D62">
              <w:rPr>
                <w:b/>
                <w:bCs/>
              </w:rPr>
              <w:t>Focus Area</w:t>
            </w:r>
          </w:p>
        </w:tc>
        <w:tc>
          <w:tcPr>
            <w:tcW w:w="0" w:type="auto"/>
            <w:tcMar>
              <w:top w:w="15" w:type="dxa"/>
              <w:left w:w="15" w:type="dxa"/>
              <w:bottom w:w="15" w:type="dxa"/>
              <w:right w:w="15" w:type="dxa"/>
            </w:tcMar>
            <w:vAlign w:val="center"/>
            <w:hideMark/>
          </w:tcPr>
          <w:p w14:paraId="4E5435E5" w14:textId="77777777" w:rsidR="00154D62" w:rsidRPr="00154D62" w:rsidRDefault="00154D62" w:rsidP="00154D62">
            <w:pPr>
              <w:rPr>
                <w:b/>
                <w:bCs/>
              </w:rPr>
            </w:pPr>
            <w:r w:rsidRPr="00154D62">
              <w:rPr>
                <w:b/>
                <w:bCs/>
              </w:rPr>
              <w:t>Value</w:t>
            </w:r>
          </w:p>
        </w:tc>
      </w:tr>
      <w:tr w:rsidR="00154D62" w:rsidRPr="00154D62" w14:paraId="03D69701" w14:textId="77777777" w:rsidTr="00154D62">
        <w:trPr>
          <w:tblCellSpacing w:w="15" w:type="dxa"/>
        </w:trPr>
        <w:tc>
          <w:tcPr>
            <w:tcW w:w="0" w:type="auto"/>
            <w:tcMar>
              <w:top w:w="15" w:type="dxa"/>
              <w:left w:w="15" w:type="dxa"/>
              <w:bottom w:w="15" w:type="dxa"/>
              <w:right w:w="15" w:type="dxa"/>
            </w:tcMar>
            <w:vAlign w:val="center"/>
            <w:hideMark/>
          </w:tcPr>
          <w:p w14:paraId="346F0272" w14:textId="77777777" w:rsidR="00154D62" w:rsidRPr="00154D62" w:rsidRDefault="00154D62" w:rsidP="00154D62">
            <w:r w:rsidRPr="00154D62">
              <w:rPr>
                <w:b/>
                <w:bCs/>
              </w:rPr>
              <w:t>Lead Development</w:t>
            </w:r>
          </w:p>
        </w:tc>
        <w:tc>
          <w:tcPr>
            <w:tcW w:w="0" w:type="auto"/>
            <w:tcMar>
              <w:top w:w="15" w:type="dxa"/>
              <w:left w:w="15" w:type="dxa"/>
              <w:bottom w:w="15" w:type="dxa"/>
              <w:right w:w="15" w:type="dxa"/>
            </w:tcMar>
            <w:vAlign w:val="center"/>
            <w:hideMark/>
          </w:tcPr>
          <w:p w14:paraId="21BDA7AF" w14:textId="77777777" w:rsidR="00154D62" w:rsidRPr="00154D62" w:rsidRDefault="00154D62" w:rsidP="00154D62">
            <w:r w:rsidRPr="00154D62">
              <w:t>Identify and connect with qualified biopharma contacts actively seeking solutions</w:t>
            </w:r>
          </w:p>
        </w:tc>
      </w:tr>
      <w:tr w:rsidR="00154D62" w:rsidRPr="00154D62" w14:paraId="50B2F904" w14:textId="77777777" w:rsidTr="00154D62">
        <w:trPr>
          <w:tblCellSpacing w:w="15" w:type="dxa"/>
        </w:trPr>
        <w:tc>
          <w:tcPr>
            <w:tcW w:w="0" w:type="auto"/>
            <w:tcMar>
              <w:top w:w="15" w:type="dxa"/>
              <w:left w:w="15" w:type="dxa"/>
              <w:bottom w:w="15" w:type="dxa"/>
              <w:right w:w="15" w:type="dxa"/>
            </w:tcMar>
            <w:vAlign w:val="center"/>
            <w:hideMark/>
          </w:tcPr>
          <w:p w14:paraId="5A6BBE34" w14:textId="77777777" w:rsidR="00154D62" w:rsidRPr="00154D62" w:rsidRDefault="00154D62" w:rsidP="00154D62">
            <w:r w:rsidRPr="00154D62">
              <w:rPr>
                <w:b/>
                <w:bCs/>
              </w:rPr>
              <w:t>Market Intelligence</w:t>
            </w:r>
          </w:p>
        </w:tc>
        <w:tc>
          <w:tcPr>
            <w:tcW w:w="0" w:type="auto"/>
            <w:tcMar>
              <w:top w:w="15" w:type="dxa"/>
              <w:left w:w="15" w:type="dxa"/>
              <w:bottom w:w="15" w:type="dxa"/>
              <w:right w:w="15" w:type="dxa"/>
            </w:tcMar>
            <w:vAlign w:val="center"/>
            <w:hideMark/>
          </w:tcPr>
          <w:p w14:paraId="726CBD9C" w14:textId="77777777" w:rsidR="00154D62" w:rsidRPr="00154D62" w:rsidRDefault="00154D62" w:rsidP="00154D62">
            <w:r w:rsidRPr="00154D62">
              <w:t>Learn what customers care about, and how competitors are responding</w:t>
            </w:r>
          </w:p>
        </w:tc>
      </w:tr>
      <w:tr w:rsidR="00154D62" w:rsidRPr="00154D62" w14:paraId="637DC348" w14:textId="77777777" w:rsidTr="00154D62">
        <w:trPr>
          <w:tblCellSpacing w:w="15" w:type="dxa"/>
        </w:trPr>
        <w:tc>
          <w:tcPr>
            <w:tcW w:w="0" w:type="auto"/>
            <w:tcMar>
              <w:top w:w="15" w:type="dxa"/>
              <w:left w:w="15" w:type="dxa"/>
              <w:bottom w:w="15" w:type="dxa"/>
              <w:right w:w="15" w:type="dxa"/>
            </w:tcMar>
            <w:vAlign w:val="center"/>
            <w:hideMark/>
          </w:tcPr>
          <w:p w14:paraId="7D07E54B" w14:textId="77777777" w:rsidR="00154D62" w:rsidRPr="00154D62" w:rsidRDefault="00154D62" w:rsidP="00154D62">
            <w:r w:rsidRPr="00154D62">
              <w:rPr>
                <w:b/>
                <w:bCs/>
              </w:rPr>
              <w:t>Technical Authority</w:t>
            </w:r>
          </w:p>
        </w:tc>
        <w:tc>
          <w:tcPr>
            <w:tcW w:w="0" w:type="auto"/>
            <w:tcMar>
              <w:top w:w="15" w:type="dxa"/>
              <w:left w:w="15" w:type="dxa"/>
              <w:bottom w:w="15" w:type="dxa"/>
              <w:right w:w="15" w:type="dxa"/>
            </w:tcMar>
            <w:vAlign w:val="center"/>
            <w:hideMark/>
          </w:tcPr>
          <w:p w14:paraId="32F45C18" w14:textId="77777777" w:rsidR="00154D62" w:rsidRPr="00154D62" w:rsidRDefault="00154D62" w:rsidP="00154D62">
            <w:r w:rsidRPr="00154D62">
              <w:t>Stay informed on regulatory, platform, and manufacturing trends shaping purchasing decisions</w:t>
            </w:r>
          </w:p>
        </w:tc>
      </w:tr>
      <w:tr w:rsidR="00154D62" w:rsidRPr="00154D62" w14:paraId="10DD4297" w14:textId="77777777" w:rsidTr="00154D62">
        <w:trPr>
          <w:tblCellSpacing w:w="15" w:type="dxa"/>
        </w:trPr>
        <w:tc>
          <w:tcPr>
            <w:tcW w:w="0" w:type="auto"/>
            <w:tcMar>
              <w:top w:w="15" w:type="dxa"/>
              <w:left w:w="15" w:type="dxa"/>
              <w:bottom w:w="15" w:type="dxa"/>
              <w:right w:w="15" w:type="dxa"/>
            </w:tcMar>
            <w:vAlign w:val="center"/>
            <w:hideMark/>
          </w:tcPr>
          <w:p w14:paraId="6AB994B2" w14:textId="77777777" w:rsidR="00154D62" w:rsidRPr="00154D62" w:rsidRDefault="00154D62" w:rsidP="00154D62">
            <w:r w:rsidRPr="00154D62">
              <w:rPr>
                <w:b/>
                <w:bCs/>
              </w:rPr>
              <w:t>Strategic Positioning</w:t>
            </w:r>
          </w:p>
        </w:tc>
        <w:tc>
          <w:tcPr>
            <w:tcW w:w="0" w:type="auto"/>
            <w:tcMar>
              <w:top w:w="15" w:type="dxa"/>
              <w:left w:w="15" w:type="dxa"/>
              <w:bottom w:w="15" w:type="dxa"/>
              <w:right w:w="15" w:type="dxa"/>
            </w:tcMar>
            <w:vAlign w:val="center"/>
            <w:hideMark/>
          </w:tcPr>
          <w:p w14:paraId="6C8A4DF3" w14:textId="77777777" w:rsidR="00154D62" w:rsidRPr="00154D62" w:rsidRDefault="00154D62" w:rsidP="00154D62">
            <w:r w:rsidRPr="00154D62">
              <w:t>Refine how we frame and communicate our unique value in a crowded market</w:t>
            </w:r>
          </w:p>
        </w:tc>
      </w:tr>
      <w:tr w:rsidR="00154D62" w:rsidRPr="00154D62" w14:paraId="3ABBBBFD" w14:textId="77777777" w:rsidTr="00154D62">
        <w:trPr>
          <w:tblCellSpacing w:w="15" w:type="dxa"/>
        </w:trPr>
        <w:tc>
          <w:tcPr>
            <w:tcW w:w="0" w:type="auto"/>
            <w:tcMar>
              <w:top w:w="15" w:type="dxa"/>
              <w:left w:w="15" w:type="dxa"/>
              <w:bottom w:w="15" w:type="dxa"/>
              <w:right w:w="15" w:type="dxa"/>
            </w:tcMar>
            <w:vAlign w:val="center"/>
            <w:hideMark/>
          </w:tcPr>
          <w:p w14:paraId="13505022" w14:textId="77777777" w:rsidR="00154D62" w:rsidRPr="00154D62" w:rsidRDefault="00154D62" w:rsidP="00154D62">
            <w:r w:rsidRPr="00154D62">
              <w:rPr>
                <w:b/>
                <w:bCs/>
              </w:rPr>
              <w:t>Partnership Building</w:t>
            </w:r>
          </w:p>
        </w:tc>
        <w:tc>
          <w:tcPr>
            <w:tcW w:w="0" w:type="auto"/>
            <w:tcMar>
              <w:top w:w="15" w:type="dxa"/>
              <w:left w:w="15" w:type="dxa"/>
              <w:bottom w:w="15" w:type="dxa"/>
              <w:right w:w="15" w:type="dxa"/>
            </w:tcMar>
            <w:vAlign w:val="center"/>
            <w:hideMark/>
          </w:tcPr>
          <w:p w14:paraId="0B1EE173" w14:textId="77777777" w:rsidR="00154D62" w:rsidRPr="00154D62" w:rsidRDefault="00154D62" w:rsidP="00154D62">
            <w:r w:rsidRPr="00154D62">
              <w:t>Engage directly with companies who may become customers, co-developers, or referrers</w:t>
            </w:r>
          </w:p>
        </w:tc>
      </w:tr>
    </w:tbl>
    <w:p w14:paraId="4F27B020" w14:textId="77777777" w:rsidR="00154D62" w:rsidRPr="00154D62" w:rsidRDefault="00154D62" w:rsidP="00154D62">
      <w:r w:rsidRPr="00154D62">
        <w:pict w14:anchorId="500A01AE">
          <v:rect id="_x0000_i1058" style="width:468pt;height:1pt" o:hralign="center" o:hrstd="t" o:hr="t" fillcolor="#a0a0a0" stroked="f"/>
        </w:pict>
      </w:r>
    </w:p>
    <w:p w14:paraId="409CA5F3" w14:textId="77777777" w:rsidR="00154D62" w:rsidRPr="00154D62" w:rsidRDefault="00154D62" w:rsidP="00154D62">
      <w:pPr>
        <w:rPr>
          <w:b/>
          <w:bCs/>
        </w:rPr>
      </w:pPr>
      <w:r w:rsidRPr="00154D62">
        <w:rPr>
          <w:rFonts w:ascii="Segoe UI Emoji" w:hAnsi="Segoe UI Emoji" w:cs="Segoe UI Emoji"/>
          <w:b/>
          <w:bCs/>
        </w:rPr>
        <w:t>💰</w:t>
      </w:r>
      <w:r w:rsidRPr="00154D62">
        <w:rPr>
          <w:b/>
          <w:bCs/>
        </w:rPr>
        <w:t xml:space="preserve"> Cost &amp; Strategic ROI</w:t>
      </w:r>
    </w:p>
    <w:tbl>
      <w:tblPr>
        <w:tblW w:w="0" w:type="auto"/>
        <w:tblCellSpacing w:w="15" w:type="dxa"/>
        <w:tblLook w:val="04A0" w:firstRow="1" w:lastRow="0" w:firstColumn="1" w:lastColumn="0" w:noHBand="0" w:noVBand="1"/>
      </w:tblPr>
      <w:tblGrid>
        <w:gridCol w:w="3131"/>
        <w:gridCol w:w="5895"/>
      </w:tblGrid>
      <w:tr w:rsidR="00154D62" w:rsidRPr="00154D62" w14:paraId="08AB0B89" w14:textId="77777777" w:rsidTr="00154D62">
        <w:trPr>
          <w:tblHeader/>
          <w:tblCellSpacing w:w="15" w:type="dxa"/>
        </w:trPr>
        <w:tc>
          <w:tcPr>
            <w:tcW w:w="0" w:type="auto"/>
            <w:tcMar>
              <w:top w:w="15" w:type="dxa"/>
              <w:left w:w="15" w:type="dxa"/>
              <w:bottom w:w="15" w:type="dxa"/>
              <w:right w:w="15" w:type="dxa"/>
            </w:tcMar>
            <w:vAlign w:val="center"/>
            <w:hideMark/>
          </w:tcPr>
          <w:p w14:paraId="54972B73" w14:textId="77777777" w:rsidR="00154D62" w:rsidRPr="00154D62" w:rsidRDefault="00154D62" w:rsidP="00154D62">
            <w:pPr>
              <w:rPr>
                <w:b/>
                <w:bCs/>
              </w:rPr>
            </w:pPr>
            <w:r w:rsidRPr="00154D62">
              <w:rPr>
                <w:b/>
                <w:bCs/>
              </w:rPr>
              <w:t>Item</w:t>
            </w:r>
          </w:p>
        </w:tc>
        <w:tc>
          <w:tcPr>
            <w:tcW w:w="0" w:type="auto"/>
            <w:tcMar>
              <w:top w:w="15" w:type="dxa"/>
              <w:left w:w="15" w:type="dxa"/>
              <w:bottom w:w="15" w:type="dxa"/>
              <w:right w:w="15" w:type="dxa"/>
            </w:tcMar>
            <w:vAlign w:val="center"/>
            <w:hideMark/>
          </w:tcPr>
          <w:p w14:paraId="466AC241" w14:textId="77777777" w:rsidR="00154D62" w:rsidRPr="00154D62" w:rsidRDefault="00154D62" w:rsidP="00154D62">
            <w:pPr>
              <w:rPr>
                <w:b/>
                <w:bCs/>
              </w:rPr>
            </w:pPr>
            <w:r w:rsidRPr="00154D62">
              <w:rPr>
                <w:b/>
                <w:bCs/>
              </w:rPr>
              <w:t>Estimate</w:t>
            </w:r>
          </w:p>
        </w:tc>
      </w:tr>
      <w:tr w:rsidR="00154D62" w:rsidRPr="00154D62" w14:paraId="753672D8" w14:textId="77777777" w:rsidTr="00154D62">
        <w:trPr>
          <w:tblCellSpacing w:w="15" w:type="dxa"/>
        </w:trPr>
        <w:tc>
          <w:tcPr>
            <w:tcW w:w="0" w:type="auto"/>
            <w:tcMar>
              <w:top w:w="15" w:type="dxa"/>
              <w:left w:w="15" w:type="dxa"/>
              <w:bottom w:w="15" w:type="dxa"/>
              <w:right w:w="15" w:type="dxa"/>
            </w:tcMar>
            <w:vAlign w:val="center"/>
            <w:hideMark/>
          </w:tcPr>
          <w:p w14:paraId="24E64B08" w14:textId="77777777" w:rsidR="00154D62" w:rsidRPr="00154D62" w:rsidRDefault="00154D62" w:rsidP="00154D62">
            <w:r w:rsidRPr="00154D62">
              <w:rPr>
                <w:b/>
                <w:bCs/>
              </w:rPr>
              <w:t>Delegate Registration</w:t>
            </w:r>
          </w:p>
        </w:tc>
        <w:tc>
          <w:tcPr>
            <w:tcW w:w="0" w:type="auto"/>
            <w:tcMar>
              <w:top w:w="15" w:type="dxa"/>
              <w:left w:w="15" w:type="dxa"/>
              <w:bottom w:w="15" w:type="dxa"/>
              <w:right w:w="15" w:type="dxa"/>
            </w:tcMar>
            <w:vAlign w:val="center"/>
            <w:hideMark/>
          </w:tcPr>
          <w:p w14:paraId="31D93797" w14:textId="183D8AFD" w:rsidR="00154D62" w:rsidRPr="00154D62" w:rsidRDefault="00154D62" w:rsidP="00154D62">
            <w:r w:rsidRPr="00154D62">
              <w:t>~$</w:t>
            </w:r>
            <w:r>
              <w:t>4,599</w:t>
            </w:r>
            <w:r w:rsidRPr="00154D62">
              <w:t xml:space="preserve"> (early bird pricing)</w:t>
            </w:r>
          </w:p>
        </w:tc>
      </w:tr>
      <w:tr w:rsidR="00154D62" w:rsidRPr="00154D62" w14:paraId="0892B060" w14:textId="77777777" w:rsidTr="00154D62">
        <w:trPr>
          <w:tblCellSpacing w:w="15" w:type="dxa"/>
        </w:trPr>
        <w:tc>
          <w:tcPr>
            <w:tcW w:w="0" w:type="auto"/>
            <w:tcMar>
              <w:top w:w="15" w:type="dxa"/>
              <w:left w:w="15" w:type="dxa"/>
              <w:bottom w:w="15" w:type="dxa"/>
              <w:right w:w="15" w:type="dxa"/>
            </w:tcMar>
            <w:vAlign w:val="center"/>
            <w:hideMark/>
          </w:tcPr>
          <w:p w14:paraId="44E0C440" w14:textId="77777777" w:rsidR="00154D62" w:rsidRPr="00154D62" w:rsidRDefault="00154D62" w:rsidP="00154D62">
            <w:r w:rsidRPr="00154D62">
              <w:rPr>
                <w:b/>
                <w:bCs/>
              </w:rPr>
              <w:t>Travel &amp; Lodging (4 days, Boston)</w:t>
            </w:r>
          </w:p>
        </w:tc>
        <w:tc>
          <w:tcPr>
            <w:tcW w:w="0" w:type="auto"/>
            <w:tcMar>
              <w:top w:w="15" w:type="dxa"/>
              <w:left w:w="15" w:type="dxa"/>
              <w:bottom w:w="15" w:type="dxa"/>
              <w:right w:w="15" w:type="dxa"/>
            </w:tcMar>
            <w:vAlign w:val="center"/>
            <w:hideMark/>
          </w:tcPr>
          <w:p w14:paraId="7DD5A7C8" w14:textId="4931B57E" w:rsidR="00154D62" w:rsidRPr="00154D62" w:rsidRDefault="00154D62" w:rsidP="00154D62">
            <w:r>
              <w:t xml:space="preserve">Boston, 3-4 days </w:t>
            </w:r>
          </w:p>
        </w:tc>
      </w:tr>
      <w:tr w:rsidR="00154D62" w:rsidRPr="00154D62" w14:paraId="72B774B0" w14:textId="77777777" w:rsidTr="00154D62">
        <w:trPr>
          <w:tblCellSpacing w:w="15" w:type="dxa"/>
        </w:trPr>
        <w:tc>
          <w:tcPr>
            <w:tcW w:w="0" w:type="auto"/>
            <w:tcMar>
              <w:top w:w="15" w:type="dxa"/>
              <w:left w:w="15" w:type="dxa"/>
              <w:bottom w:w="15" w:type="dxa"/>
              <w:right w:w="15" w:type="dxa"/>
            </w:tcMar>
            <w:vAlign w:val="center"/>
            <w:hideMark/>
          </w:tcPr>
          <w:p w14:paraId="7E850B25" w14:textId="77777777" w:rsidR="00154D62" w:rsidRPr="00154D62" w:rsidRDefault="00154D62" w:rsidP="00154D62">
            <w:r w:rsidRPr="00154D62">
              <w:rPr>
                <w:b/>
                <w:bCs/>
              </w:rPr>
              <w:t>Post-Event Value</w:t>
            </w:r>
          </w:p>
        </w:tc>
        <w:tc>
          <w:tcPr>
            <w:tcW w:w="0" w:type="auto"/>
            <w:tcMar>
              <w:top w:w="15" w:type="dxa"/>
              <w:left w:w="15" w:type="dxa"/>
              <w:bottom w:w="15" w:type="dxa"/>
              <w:right w:w="15" w:type="dxa"/>
            </w:tcMar>
            <w:vAlign w:val="center"/>
            <w:hideMark/>
          </w:tcPr>
          <w:p w14:paraId="51097417" w14:textId="77777777" w:rsidR="00154D62" w:rsidRPr="00154D62" w:rsidRDefault="00154D62" w:rsidP="00154D62">
            <w:r w:rsidRPr="00154D62">
              <w:t>Long-term access to presentations, leads, and competitive insight</w:t>
            </w:r>
          </w:p>
        </w:tc>
      </w:tr>
    </w:tbl>
    <w:p w14:paraId="03047815" w14:textId="77777777" w:rsidR="00154D62" w:rsidRPr="00154D62" w:rsidRDefault="00154D62" w:rsidP="00154D62">
      <w:r w:rsidRPr="00154D62">
        <w:pict w14:anchorId="2AEF4914">
          <v:rect id="_x0000_i1059" style="width:468pt;height:1pt" o:hralign="center" o:hrstd="t" o:hr="t" fillcolor="#a0a0a0" stroked="f"/>
        </w:pict>
      </w:r>
    </w:p>
    <w:p w14:paraId="5D7F5FB8" w14:textId="77777777" w:rsidR="00154D62" w:rsidRPr="00154D62" w:rsidRDefault="00154D62" w:rsidP="00154D62">
      <w:pPr>
        <w:rPr>
          <w:b/>
          <w:bCs/>
        </w:rPr>
      </w:pPr>
      <w:r w:rsidRPr="00154D62">
        <w:rPr>
          <w:rFonts w:ascii="Segoe UI Emoji" w:hAnsi="Segoe UI Emoji" w:cs="Segoe UI Emoji"/>
          <w:b/>
          <w:bCs/>
        </w:rPr>
        <w:t>🔑</w:t>
      </w:r>
      <w:r w:rsidRPr="00154D62">
        <w:rPr>
          <w:b/>
          <w:bCs/>
        </w:rPr>
        <w:t xml:space="preserve"> Why Now</w:t>
      </w:r>
    </w:p>
    <w:p w14:paraId="7A88087C" w14:textId="77777777" w:rsidR="00154D62" w:rsidRPr="00154D62" w:rsidRDefault="00154D62" w:rsidP="00154D62">
      <w:r w:rsidRPr="00154D62">
        <w:t>With increasing complexity across biologics, advanced therapies, and manufacturing platforms, our clients are demanding more from their vendors and partners. </w:t>
      </w:r>
      <w:r w:rsidRPr="00154D62">
        <w:rPr>
          <w:b/>
          <w:bCs/>
        </w:rPr>
        <w:t>Attending BPI ensures we stay close to their evolving needs</w:t>
      </w:r>
      <w:r w:rsidRPr="00154D62">
        <w:t>, engage with high-value prospects, and reinforce our position in a rapidly changing ecosystem.</w:t>
      </w:r>
    </w:p>
    <w:p w14:paraId="4FBA6A71" w14:textId="77777777" w:rsidR="00154D62" w:rsidRPr="00154D62" w:rsidRDefault="00154D62" w:rsidP="00154D62">
      <w:r w:rsidRPr="00154D62">
        <w:lastRenderedPageBreak/>
        <w:t>Thank you for considering this strategic opportunity—I’m confident it will deliver measurable value back to the business.</w:t>
      </w:r>
    </w:p>
    <w:p w14:paraId="1AEC9931" w14:textId="325D5F37" w:rsidR="00623CD6" w:rsidRDefault="00154D62">
      <w:r w:rsidRPr="00154D62">
        <w:t>Best regards,</w:t>
      </w:r>
      <w:r w:rsidRPr="00154D62">
        <w:br/>
        <w:t>[Your Name]</w:t>
      </w:r>
      <w:r w:rsidRPr="00154D62">
        <w:br/>
        <w:t>[Your Title]</w:t>
      </w:r>
      <w:r w:rsidRPr="00154D62">
        <w:br/>
        <w:t>[Your Company Name]</w:t>
      </w:r>
    </w:p>
    <w:sectPr w:rsidR="00623C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9BA9" w14:textId="77777777" w:rsidR="00154D62" w:rsidRDefault="00154D62" w:rsidP="00154D62">
      <w:pPr>
        <w:spacing w:after="0" w:line="240" w:lineRule="auto"/>
      </w:pPr>
      <w:r>
        <w:separator/>
      </w:r>
    </w:p>
  </w:endnote>
  <w:endnote w:type="continuationSeparator" w:id="0">
    <w:p w14:paraId="3957206D" w14:textId="77777777" w:rsidR="00154D62" w:rsidRDefault="00154D62" w:rsidP="001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8F39" w14:textId="48F0414B" w:rsidR="00154D62" w:rsidRDefault="00154D62">
    <w:pPr>
      <w:pStyle w:val="Footer"/>
    </w:pPr>
    <w:r>
      <w:rPr>
        <w:noProof/>
      </w:rPr>
      <mc:AlternateContent>
        <mc:Choice Requires="wps">
          <w:drawing>
            <wp:anchor distT="0" distB="0" distL="0" distR="0" simplePos="0" relativeHeight="251659264" behindDoc="0" locked="0" layoutInCell="1" allowOverlap="1" wp14:anchorId="4405A314" wp14:editId="0C87DDA0">
              <wp:simplePos x="635" y="635"/>
              <wp:positionH relativeFrom="page">
                <wp:align>left</wp:align>
              </wp:positionH>
              <wp:positionV relativeFrom="page">
                <wp:align>bottom</wp:align>
              </wp:positionV>
              <wp:extent cx="2085975" cy="335280"/>
              <wp:effectExtent l="0" t="0" r="9525" b="0"/>
              <wp:wrapNone/>
              <wp:docPr id="921796340"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871D201" w14:textId="319235F9" w:rsidR="00154D62" w:rsidRPr="00154D62" w:rsidRDefault="00154D62" w:rsidP="00154D62">
                          <w:pPr>
                            <w:spacing w:after="0"/>
                            <w:rPr>
                              <w:rFonts w:ascii="Rockwell" w:eastAsia="Rockwell" w:hAnsi="Rockwell" w:cs="Rockwell"/>
                              <w:noProof/>
                              <w:color w:val="0078D7"/>
                              <w:sz w:val="18"/>
                              <w:szCs w:val="18"/>
                            </w:rPr>
                          </w:pPr>
                          <w:r w:rsidRPr="00154D6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5A314"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2871D201" w14:textId="319235F9" w:rsidR="00154D62" w:rsidRPr="00154D62" w:rsidRDefault="00154D62" w:rsidP="00154D62">
                    <w:pPr>
                      <w:spacing w:after="0"/>
                      <w:rPr>
                        <w:rFonts w:ascii="Rockwell" w:eastAsia="Rockwell" w:hAnsi="Rockwell" w:cs="Rockwell"/>
                        <w:noProof/>
                        <w:color w:val="0078D7"/>
                        <w:sz w:val="18"/>
                        <w:szCs w:val="18"/>
                      </w:rPr>
                    </w:pPr>
                    <w:r w:rsidRPr="00154D6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B757" w14:textId="6FC3D195" w:rsidR="00154D62" w:rsidRDefault="00154D62">
    <w:pPr>
      <w:pStyle w:val="Footer"/>
    </w:pPr>
    <w:r>
      <w:rPr>
        <w:noProof/>
      </w:rPr>
      <mc:AlternateContent>
        <mc:Choice Requires="wps">
          <w:drawing>
            <wp:anchor distT="0" distB="0" distL="0" distR="0" simplePos="0" relativeHeight="251660288" behindDoc="0" locked="0" layoutInCell="1" allowOverlap="1" wp14:anchorId="464C3199" wp14:editId="0B68F8C8">
              <wp:simplePos x="914400" y="10071100"/>
              <wp:positionH relativeFrom="page">
                <wp:align>left</wp:align>
              </wp:positionH>
              <wp:positionV relativeFrom="page">
                <wp:align>bottom</wp:align>
              </wp:positionV>
              <wp:extent cx="2085975" cy="335280"/>
              <wp:effectExtent l="0" t="0" r="9525" b="0"/>
              <wp:wrapNone/>
              <wp:docPr id="134167487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7708992" w14:textId="135A7CCF" w:rsidR="00154D62" w:rsidRPr="00154D62" w:rsidRDefault="00154D62" w:rsidP="00154D62">
                          <w:pPr>
                            <w:spacing w:after="0"/>
                            <w:rPr>
                              <w:rFonts w:ascii="Rockwell" w:eastAsia="Rockwell" w:hAnsi="Rockwell" w:cs="Rockwell"/>
                              <w:noProof/>
                              <w:color w:val="0078D7"/>
                              <w:sz w:val="18"/>
                              <w:szCs w:val="18"/>
                            </w:rPr>
                          </w:pPr>
                          <w:r w:rsidRPr="00154D6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4C3199"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57708992" w14:textId="135A7CCF" w:rsidR="00154D62" w:rsidRPr="00154D62" w:rsidRDefault="00154D62" w:rsidP="00154D62">
                    <w:pPr>
                      <w:spacing w:after="0"/>
                      <w:rPr>
                        <w:rFonts w:ascii="Rockwell" w:eastAsia="Rockwell" w:hAnsi="Rockwell" w:cs="Rockwell"/>
                        <w:noProof/>
                        <w:color w:val="0078D7"/>
                        <w:sz w:val="18"/>
                        <w:szCs w:val="18"/>
                      </w:rPr>
                    </w:pPr>
                    <w:r w:rsidRPr="00154D6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87DE" w14:textId="3A1EA455" w:rsidR="00154D62" w:rsidRDefault="00154D62">
    <w:pPr>
      <w:pStyle w:val="Footer"/>
    </w:pPr>
    <w:r>
      <w:rPr>
        <w:noProof/>
      </w:rPr>
      <mc:AlternateContent>
        <mc:Choice Requires="wps">
          <w:drawing>
            <wp:anchor distT="0" distB="0" distL="0" distR="0" simplePos="0" relativeHeight="251658240" behindDoc="0" locked="0" layoutInCell="1" allowOverlap="1" wp14:anchorId="4493185C" wp14:editId="16492153">
              <wp:simplePos x="635" y="635"/>
              <wp:positionH relativeFrom="page">
                <wp:align>left</wp:align>
              </wp:positionH>
              <wp:positionV relativeFrom="page">
                <wp:align>bottom</wp:align>
              </wp:positionV>
              <wp:extent cx="2085975" cy="335280"/>
              <wp:effectExtent l="0" t="0" r="9525" b="0"/>
              <wp:wrapNone/>
              <wp:docPr id="121341421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40C0F84" w14:textId="6DBC1983" w:rsidR="00154D62" w:rsidRPr="00154D62" w:rsidRDefault="00154D62" w:rsidP="00154D62">
                          <w:pPr>
                            <w:spacing w:after="0"/>
                            <w:rPr>
                              <w:rFonts w:ascii="Rockwell" w:eastAsia="Rockwell" w:hAnsi="Rockwell" w:cs="Rockwell"/>
                              <w:noProof/>
                              <w:color w:val="0078D7"/>
                              <w:sz w:val="18"/>
                              <w:szCs w:val="18"/>
                            </w:rPr>
                          </w:pPr>
                          <w:r w:rsidRPr="00154D6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93185C"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540C0F84" w14:textId="6DBC1983" w:rsidR="00154D62" w:rsidRPr="00154D62" w:rsidRDefault="00154D62" w:rsidP="00154D62">
                    <w:pPr>
                      <w:spacing w:after="0"/>
                      <w:rPr>
                        <w:rFonts w:ascii="Rockwell" w:eastAsia="Rockwell" w:hAnsi="Rockwell" w:cs="Rockwell"/>
                        <w:noProof/>
                        <w:color w:val="0078D7"/>
                        <w:sz w:val="18"/>
                        <w:szCs w:val="18"/>
                      </w:rPr>
                    </w:pPr>
                    <w:r w:rsidRPr="00154D6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44EF" w14:textId="77777777" w:rsidR="00154D62" w:rsidRDefault="00154D62" w:rsidP="00154D62">
      <w:pPr>
        <w:spacing w:after="0" w:line="240" w:lineRule="auto"/>
      </w:pPr>
      <w:r>
        <w:separator/>
      </w:r>
    </w:p>
  </w:footnote>
  <w:footnote w:type="continuationSeparator" w:id="0">
    <w:p w14:paraId="4544014A" w14:textId="77777777" w:rsidR="00154D62" w:rsidRDefault="00154D62" w:rsidP="001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07FB0"/>
    <w:multiLevelType w:val="multilevel"/>
    <w:tmpl w:val="AE022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43A8C"/>
    <w:multiLevelType w:val="multilevel"/>
    <w:tmpl w:val="A65E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0326406">
    <w:abstractNumId w:val="0"/>
    <w:lvlOverride w:ilvl="0"/>
    <w:lvlOverride w:ilvl="1"/>
    <w:lvlOverride w:ilvl="2"/>
    <w:lvlOverride w:ilvl="3"/>
    <w:lvlOverride w:ilvl="4"/>
    <w:lvlOverride w:ilvl="5"/>
    <w:lvlOverride w:ilvl="6"/>
    <w:lvlOverride w:ilvl="7"/>
    <w:lvlOverride w:ilvl="8"/>
  </w:num>
  <w:num w:numId="2" w16cid:durableId="19418372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62"/>
    <w:rsid w:val="000E75E1"/>
    <w:rsid w:val="00154D62"/>
    <w:rsid w:val="00596210"/>
    <w:rsid w:val="0062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5626"/>
  <w15:chartTrackingRefBased/>
  <w15:docId w15:val="{A4C3FD1B-A89F-4EA2-9C89-DFE863D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D62"/>
    <w:rPr>
      <w:rFonts w:eastAsiaTheme="majorEastAsia" w:cstheme="majorBidi"/>
      <w:color w:val="272727" w:themeColor="text1" w:themeTint="D8"/>
    </w:rPr>
  </w:style>
  <w:style w:type="paragraph" w:styleId="Title">
    <w:name w:val="Title"/>
    <w:basedOn w:val="Normal"/>
    <w:next w:val="Normal"/>
    <w:link w:val="TitleChar"/>
    <w:uiPriority w:val="10"/>
    <w:qFormat/>
    <w:rsid w:val="00154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D62"/>
    <w:pPr>
      <w:spacing w:before="160"/>
      <w:jc w:val="center"/>
    </w:pPr>
    <w:rPr>
      <w:i/>
      <w:iCs/>
      <w:color w:val="404040" w:themeColor="text1" w:themeTint="BF"/>
    </w:rPr>
  </w:style>
  <w:style w:type="character" w:customStyle="1" w:styleId="QuoteChar">
    <w:name w:val="Quote Char"/>
    <w:basedOn w:val="DefaultParagraphFont"/>
    <w:link w:val="Quote"/>
    <w:uiPriority w:val="29"/>
    <w:rsid w:val="00154D62"/>
    <w:rPr>
      <w:i/>
      <w:iCs/>
      <w:color w:val="404040" w:themeColor="text1" w:themeTint="BF"/>
    </w:rPr>
  </w:style>
  <w:style w:type="paragraph" w:styleId="ListParagraph">
    <w:name w:val="List Paragraph"/>
    <w:basedOn w:val="Normal"/>
    <w:uiPriority w:val="34"/>
    <w:qFormat/>
    <w:rsid w:val="00154D62"/>
    <w:pPr>
      <w:ind w:left="720"/>
      <w:contextualSpacing/>
    </w:pPr>
  </w:style>
  <w:style w:type="character" w:styleId="IntenseEmphasis">
    <w:name w:val="Intense Emphasis"/>
    <w:basedOn w:val="DefaultParagraphFont"/>
    <w:uiPriority w:val="21"/>
    <w:qFormat/>
    <w:rsid w:val="00154D62"/>
    <w:rPr>
      <w:i/>
      <w:iCs/>
      <w:color w:val="0F4761" w:themeColor="accent1" w:themeShade="BF"/>
    </w:rPr>
  </w:style>
  <w:style w:type="paragraph" w:styleId="IntenseQuote">
    <w:name w:val="Intense Quote"/>
    <w:basedOn w:val="Normal"/>
    <w:next w:val="Normal"/>
    <w:link w:val="IntenseQuoteChar"/>
    <w:uiPriority w:val="30"/>
    <w:qFormat/>
    <w:rsid w:val="00154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D62"/>
    <w:rPr>
      <w:i/>
      <w:iCs/>
      <w:color w:val="0F4761" w:themeColor="accent1" w:themeShade="BF"/>
    </w:rPr>
  </w:style>
  <w:style w:type="character" w:styleId="IntenseReference">
    <w:name w:val="Intense Reference"/>
    <w:basedOn w:val="DefaultParagraphFont"/>
    <w:uiPriority w:val="32"/>
    <w:qFormat/>
    <w:rsid w:val="00154D62"/>
    <w:rPr>
      <w:b/>
      <w:bCs/>
      <w:smallCaps/>
      <w:color w:val="0F4761" w:themeColor="accent1" w:themeShade="BF"/>
      <w:spacing w:val="5"/>
    </w:rPr>
  </w:style>
  <w:style w:type="paragraph" w:styleId="Footer">
    <w:name w:val="footer"/>
    <w:basedOn w:val="Normal"/>
    <w:link w:val="FooterChar"/>
    <w:uiPriority w:val="99"/>
    <w:unhideWhenUsed/>
    <w:rsid w:val="00154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3378">
      <w:bodyDiv w:val="1"/>
      <w:marLeft w:val="0"/>
      <w:marRight w:val="0"/>
      <w:marTop w:val="0"/>
      <w:marBottom w:val="0"/>
      <w:divBdr>
        <w:top w:val="none" w:sz="0" w:space="0" w:color="auto"/>
        <w:left w:val="none" w:sz="0" w:space="0" w:color="auto"/>
        <w:bottom w:val="none" w:sz="0" w:space="0" w:color="auto"/>
        <w:right w:val="none" w:sz="0" w:space="0" w:color="auto"/>
      </w:divBdr>
    </w:div>
    <w:div w:id="3869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Eden</dc:creator>
  <cp:keywords/>
  <dc:description/>
  <cp:lastModifiedBy>Turner, Eden</cp:lastModifiedBy>
  <cp:revision>1</cp:revision>
  <dcterms:created xsi:type="dcterms:W3CDTF">2025-08-05T15:57:00Z</dcterms:created>
  <dcterms:modified xsi:type="dcterms:W3CDTF">2025-08-05T16:01:00Z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48533b43,36f17ef4,4ff8557e</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2025-08-05T16:01:38Z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cec601eb-0d19-4a04-904d-49e4c4569717</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