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E91B7" w14:textId="77777777" w:rsidR="00C54997" w:rsidRPr="00C54997" w:rsidRDefault="00C54997" w:rsidP="00C54997">
      <w:r w:rsidRPr="00C54997">
        <w:rPr>
          <w:b/>
          <w:bCs/>
        </w:rPr>
        <w:t>Subject:</w:t>
      </w:r>
      <w:r w:rsidRPr="00C54997">
        <w:t> Strategic Request: Attend BioProcess International 2025 to Guide Our Development and Platform Strategy</w:t>
      </w:r>
    </w:p>
    <w:p w14:paraId="4CF8F0D9" w14:textId="77777777" w:rsidR="00C54997" w:rsidRPr="00C54997" w:rsidRDefault="00C54997" w:rsidP="00C54997">
      <w:r w:rsidRPr="00C54997">
        <w:t>Dear [Boss’s Name],</w:t>
      </w:r>
    </w:p>
    <w:p w14:paraId="053C86BC" w14:textId="77777777" w:rsidR="00C54997" w:rsidRPr="00C54997" w:rsidRDefault="00C54997" w:rsidP="00C54997">
      <w:r w:rsidRPr="00C54997">
        <w:t>I’d like to request approval to attend the </w:t>
      </w:r>
      <w:r w:rsidRPr="00C54997">
        <w:rPr>
          <w:b/>
          <w:bCs/>
        </w:rPr>
        <w:t>BioProcess International Conference &amp; Exhibition</w:t>
      </w:r>
      <w:r w:rsidRPr="00C54997">
        <w:t>, taking place </w:t>
      </w:r>
      <w:r w:rsidRPr="00C54997">
        <w:rPr>
          <w:b/>
          <w:bCs/>
        </w:rPr>
        <w:t>September 15–18, 2025 in Boston</w:t>
      </w:r>
      <w:r w:rsidRPr="00C54997">
        <w:t>. While members of my team may benefit from the technical depth of this event, I believe it’s equally important that I attend in person to </w:t>
      </w:r>
      <w:r w:rsidRPr="00C54997">
        <w:rPr>
          <w:b/>
          <w:bCs/>
        </w:rPr>
        <w:t>evaluate emerging strategies, benchmark against industry peers, and identify key partners and technologies</w:t>
      </w:r>
      <w:r w:rsidRPr="00C54997">
        <w:t> that align with our next phase of development.</w:t>
      </w:r>
    </w:p>
    <w:p w14:paraId="7E097BDC" w14:textId="77777777" w:rsidR="00C54997" w:rsidRPr="00C54997" w:rsidRDefault="00C54997" w:rsidP="00C54997">
      <w:r w:rsidRPr="00C54997">
        <w:pict w14:anchorId="2C28976D">
          <v:rect id="_x0000_i1055" style="width:468pt;height:1pt" o:hralign="center" o:hrstd="t" o:hr="t" fillcolor="#a0a0a0" stroked="f"/>
        </w:pict>
      </w:r>
    </w:p>
    <w:p w14:paraId="4CE1B583" w14:textId="77777777" w:rsidR="00C54997" w:rsidRPr="00C54997" w:rsidRDefault="00C54997" w:rsidP="00C54997">
      <w:pPr>
        <w:rPr>
          <w:b/>
          <w:bCs/>
        </w:rPr>
      </w:pPr>
      <w:r w:rsidRPr="00C54997">
        <w:rPr>
          <w:rFonts w:ascii="Segoe UI Emoji" w:hAnsi="Segoe UI Emoji" w:cs="Segoe UI Emoji"/>
          <w:b/>
          <w:bCs/>
        </w:rPr>
        <w:t>🧭</w:t>
      </w:r>
      <w:r w:rsidRPr="00C54997">
        <w:rPr>
          <w:b/>
          <w:bCs/>
        </w:rPr>
        <w:t xml:space="preserve"> Why My Attendance Matters at the Leadership Level</w:t>
      </w:r>
    </w:p>
    <w:p w14:paraId="09FD2F8B" w14:textId="77777777" w:rsidR="00C54997" w:rsidRPr="00C54997" w:rsidRDefault="00C54997" w:rsidP="00C54997">
      <w:r w:rsidRPr="00C54997">
        <w:rPr>
          <w:b/>
          <w:bCs/>
        </w:rPr>
        <w:t>1. Stay Ahead of Where the Industry is Moving</w:t>
      </w:r>
      <w:r w:rsidRPr="00C54997">
        <w:br/>
        <w:t>At the director level, I need a clear view of where bioprocessing is headed—whether that’s </w:t>
      </w:r>
      <w:r w:rsidRPr="00C54997">
        <w:rPr>
          <w:b/>
          <w:bCs/>
        </w:rPr>
        <w:t>continuous manufacturing</w:t>
      </w:r>
      <w:r w:rsidRPr="00C54997">
        <w:t>, </w:t>
      </w:r>
      <w:r w:rsidRPr="00C54997">
        <w:rPr>
          <w:b/>
          <w:bCs/>
        </w:rPr>
        <w:t>AI-driven process analytics</w:t>
      </w:r>
      <w:r w:rsidRPr="00C54997">
        <w:t>, </w:t>
      </w:r>
      <w:r w:rsidRPr="00C54997">
        <w:rPr>
          <w:b/>
          <w:bCs/>
        </w:rPr>
        <w:t>CMC strategies for gene therapy</w:t>
      </w:r>
      <w:r w:rsidRPr="00C54997">
        <w:t>, or </w:t>
      </w:r>
      <w:r w:rsidRPr="00C54997">
        <w:rPr>
          <w:b/>
          <w:bCs/>
        </w:rPr>
        <w:t>regulatory expectations across modalities</w:t>
      </w:r>
      <w:r w:rsidRPr="00C54997">
        <w:t>. BPI gives me direct access to what our peers are doing, and how we need to adapt or lead.</w:t>
      </w:r>
    </w:p>
    <w:p w14:paraId="5115AFE0" w14:textId="77777777" w:rsidR="00C54997" w:rsidRPr="00C54997" w:rsidRDefault="00C54997" w:rsidP="00C54997">
      <w:r w:rsidRPr="00C54997">
        <w:rPr>
          <w:b/>
          <w:bCs/>
        </w:rPr>
        <w:t>2. Identify the Right Investments for the Next 12–24 Months</w:t>
      </w:r>
      <w:r w:rsidRPr="00C54997">
        <w:br/>
        <w:t>From single-use technologies and perfusion strategies to vendor platforms and outsourcing models, this event is a chance to evaluate </w:t>
      </w:r>
      <w:r w:rsidRPr="00C54997">
        <w:rPr>
          <w:b/>
          <w:bCs/>
        </w:rPr>
        <w:t>future-critical tools and partners</w:t>
      </w:r>
      <w:r w:rsidRPr="00C54997">
        <w:t>—not just for current projects, but for our long-term platform strategy.</w:t>
      </w:r>
    </w:p>
    <w:p w14:paraId="4809100C" w14:textId="77777777" w:rsidR="00C54997" w:rsidRPr="00C54997" w:rsidRDefault="00C54997" w:rsidP="00C54997">
      <w:r w:rsidRPr="00C54997">
        <w:rPr>
          <w:b/>
          <w:bCs/>
        </w:rPr>
        <w:t>3. Benchmark Our Approach vs. Industry Leaders</w:t>
      </w:r>
      <w:r w:rsidRPr="00C54997">
        <w:br/>
        <w:t>Attendees include senior leaders from Pfizer, AstraZeneca, Amgen, GSK, and fast-scaling biotechs. The sessions and discussions provide insight into how others are structuring their development pipelines, managing tech transfer, and solving scale-up bottlenecks. This helps validate our own internal direction—or challenge it where needed.</w:t>
      </w:r>
    </w:p>
    <w:p w14:paraId="1EB976E0" w14:textId="77777777" w:rsidR="00C54997" w:rsidRPr="00C54997" w:rsidRDefault="00C54997" w:rsidP="00C54997">
      <w:r w:rsidRPr="00C54997">
        <w:rPr>
          <w:b/>
          <w:bCs/>
        </w:rPr>
        <w:t>4. Strengthen External Partnerships and Visibility</w:t>
      </w:r>
      <w:r w:rsidRPr="00C54997">
        <w:br/>
        <w:t>This event is more than education—it’s where </w:t>
      </w:r>
      <w:r w:rsidRPr="00C54997">
        <w:rPr>
          <w:b/>
          <w:bCs/>
        </w:rPr>
        <w:t>relationships are formed with potential CDMOs, technology providers, and thought leaders</w:t>
      </w:r>
      <w:r w:rsidRPr="00C54997">
        <w:t>. My presence opens doors for future collaborations, licensing discussions, and vendor negotiations at a senior level.</w:t>
      </w:r>
    </w:p>
    <w:p w14:paraId="4C123309" w14:textId="77777777" w:rsidR="00C54997" w:rsidRPr="00C54997" w:rsidRDefault="00C54997" w:rsidP="00C54997">
      <w:r w:rsidRPr="00C54997">
        <w:rPr>
          <w:b/>
          <w:bCs/>
        </w:rPr>
        <w:t>5. Bring Strategic Value Back to the Team</w:t>
      </w:r>
      <w:r w:rsidRPr="00C54997">
        <w:br/>
        <w:t>While individual contributors may attend for technical depth, I will focus on </w:t>
      </w:r>
      <w:r w:rsidRPr="00C54997">
        <w:rPr>
          <w:b/>
          <w:bCs/>
        </w:rPr>
        <w:t>cross-functional synthesis</w:t>
      </w:r>
      <w:r w:rsidRPr="00C54997">
        <w:t>: where our platform can evolve, how other companies structure development operations, and which technologies are gaining meaningful traction.</w:t>
      </w:r>
    </w:p>
    <w:p w14:paraId="713CBAEE" w14:textId="77777777" w:rsidR="00C54997" w:rsidRPr="00C54997" w:rsidRDefault="00C54997" w:rsidP="00C54997">
      <w:r w:rsidRPr="00C54997">
        <w:pict w14:anchorId="2C45F2FC">
          <v:rect id="_x0000_i1056" style="width:468pt;height:1pt" o:hralign="center" o:hrstd="t" o:hr="t" fillcolor="#a0a0a0" stroked="f"/>
        </w:pict>
      </w:r>
    </w:p>
    <w:p w14:paraId="41DC346C" w14:textId="77777777" w:rsidR="00C54997" w:rsidRPr="00C54997" w:rsidRDefault="00C54997" w:rsidP="00C54997">
      <w:pPr>
        <w:rPr>
          <w:b/>
          <w:bCs/>
        </w:rPr>
      </w:pPr>
      <w:r w:rsidRPr="00C54997">
        <w:rPr>
          <w:rFonts w:ascii="Segoe UI Emoji" w:hAnsi="Segoe UI Emoji" w:cs="Segoe UI Emoji"/>
          <w:b/>
          <w:bCs/>
        </w:rPr>
        <w:t>📥</w:t>
      </w:r>
      <w:r w:rsidRPr="00C54997">
        <w:rPr>
          <w:b/>
          <w:bCs/>
        </w:rPr>
        <w:t xml:space="preserve"> Extended ROI: Ongoing Access to Insights Post-Event</w:t>
      </w:r>
    </w:p>
    <w:p w14:paraId="37D3E5BB" w14:textId="77777777" w:rsidR="00C54997" w:rsidRPr="00C54997" w:rsidRDefault="00C54997" w:rsidP="00C54997">
      <w:r w:rsidRPr="00C54997">
        <w:t>As a registered attendee, I will have </w:t>
      </w:r>
      <w:r w:rsidRPr="00C54997">
        <w:rPr>
          <w:b/>
          <w:bCs/>
        </w:rPr>
        <w:t>on-demand access to all recorded sessions and presentations</w:t>
      </w:r>
      <w:r w:rsidRPr="00C54997">
        <w:t>, which will allow me to:</w:t>
      </w:r>
    </w:p>
    <w:p w14:paraId="5721103F" w14:textId="77777777" w:rsidR="00C54997" w:rsidRPr="00C54997" w:rsidRDefault="00C54997" w:rsidP="00C54997">
      <w:pPr>
        <w:numPr>
          <w:ilvl w:val="0"/>
          <w:numId w:val="1"/>
        </w:numPr>
      </w:pPr>
      <w:r w:rsidRPr="00C54997">
        <w:t>Share key insights across departments (R&amp;D, Quality, Manufacturing, Regulatory)</w:t>
      </w:r>
    </w:p>
    <w:p w14:paraId="2A792E82" w14:textId="77777777" w:rsidR="00C54997" w:rsidRPr="00C54997" w:rsidRDefault="00C54997" w:rsidP="00C54997">
      <w:pPr>
        <w:numPr>
          <w:ilvl w:val="0"/>
          <w:numId w:val="1"/>
        </w:numPr>
      </w:pPr>
      <w:r w:rsidRPr="00C54997">
        <w:t>Reference specific case studies or strategies when making cross-functional decisions</w:t>
      </w:r>
    </w:p>
    <w:p w14:paraId="05FA011B" w14:textId="77777777" w:rsidR="00C54997" w:rsidRPr="00C54997" w:rsidRDefault="00C54997" w:rsidP="00C54997">
      <w:pPr>
        <w:numPr>
          <w:ilvl w:val="0"/>
          <w:numId w:val="1"/>
        </w:numPr>
      </w:pPr>
      <w:r w:rsidRPr="00C54997">
        <w:t>Continue evaluating vendor platforms with our internal tech leads post-event</w:t>
      </w:r>
    </w:p>
    <w:p w14:paraId="63090E0C" w14:textId="77777777" w:rsidR="00C54997" w:rsidRPr="00C54997" w:rsidRDefault="00C54997" w:rsidP="00C54997">
      <w:r w:rsidRPr="00C54997">
        <w:lastRenderedPageBreak/>
        <w:t>This makes the event a </w:t>
      </w:r>
      <w:r w:rsidRPr="00C54997">
        <w:rPr>
          <w:b/>
          <w:bCs/>
        </w:rPr>
        <w:t>long-term strategic resource</w:t>
      </w:r>
      <w:r w:rsidRPr="00C54997">
        <w:t>, not just a one-off.</w:t>
      </w:r>
    </w:p>
    <w:p w14:paraId="6D6CC6C3" w14:textId="77777777" w:rsidR="00C54997" w:rsidRPr="00C54997" w:rsidRDefault="00C54997" w:rsidP="00C54997">
      <w:r w:rsidRPr="00C54997">
        <w:pict w14:anchorId="128784D7">
          <v:rect id="_x0000_i1057" style="width:468pt;height:1pt" o:hralign="center" o:hrstd="t" o:hr="t" fillcolor="#a0a0a0" stroked="f"/>
        </w:pict>
      </w:r>
    </w:p>
    <w:p w14:paraId="01120FF8" w14:textId="77777777" w:rsidR="00C54997" w:rsidRPr="00C54997" w:rsidRDefault="00C54997" w:rsidP="00C54997">
      <w:pPr>
        <w:rPr>
          <w:b/>
          <w:bCs/>
        </w:rPr>
      </w:pPr>
      <w:r w:rsidRPr="00C54997">
        <w:rPr>
          <w:rFonts w:ascii="Segoe UI Emoji" w:hAnsi="Segoe UI Emoji" w:cs="Segoe UI Emoji"/>
          <w:b/>
          <w:bCs/>
        </w:rPr>
        <w:t>✅</w:t>
      </w:r>
      <w:r w:rsidRPr="00C54997">
        <w:rPr>
          <w:b/>
          <w:bCs/>
        </w:rPr>
        <w:t xml:space="preserve"> Value to [Company Name] at the Leadership Level</w:t>
      </w:r>
    </w:p>
    <w:tbl>
      <w:tblPr>
        <w:tblW w:w="0" w:type="auto"/>
        <w:tblCellSpacing w:w="15" w:type="dxa"/>
        <w:tblLook w:val="04A0" w:firstRow="1" w:lastRow="0" w:firstColumn="1" w:lastColumn="0" w:noHBand="0" w:noVBand="1"/>
      </w:tblPr>
      <w:tblGrid>
        <w:gridCol w:w="2268"/>
        <w:gridCol w:w="6758"/>
      </w:tblGrid>
      <w:tr w:rsidR="00C54997" w:rsidRPr="00C54997" w14:paraId="328F8DC2" w14:textId="77777777" w:rsidTr="00C54997">
        <w:trPr>
          <w:tblHeader/>
          <w:tblCellSpacing w:w="15" w:type="dxa"/>
        </w:trPr>
        <w:tc>
          <w:tcPr>
            <w:tcW w:w="0" w:type="auto"/>
            <w:tcMar>
              <w:top w:w="15" w:type="dxa"/>
              <w:left w:w="15" w:type="dxa"/>
              <w:bottom w:w="15" w:type="dxa"/>
              <w:right w:w="15" w:type="dxa"/>
            </w:tcMar>
            <w:vAlign w:val="center"/>
            <w:hideMark/>
          </w:tcPr>
          <w:p w14:paraId="2CFB4A94" w14:textId="77777777" w:rsidR="00C54997" w:rsidRPr="00C54997" w:rsidRDefault="00C54997" w:rsidP="00C54997">
            <w:pPr>
              <w:rPr>
                <w:b/>
                <w:bCs/>
              </w:rPr>
            </w:pPr>
            <w:r w:rsidRPr="00C54997">
              <w:rPr>
                <w:b/>
                <w:bCs/>
              </w:rPr>
              <w:t>Strategic Area</w:t>
            </w:r>
          </w:p>
        </w:tc>
        <w:tc>
          <w:tcPr>
            <w:tcW w:w="0" w:type="auto"/>
            <w:tcMar>
              <w:top w:w="15" w:type="dxa"/>
              <w:left w:w="15" w:type="dxa"/>
              <w:bottom w:w="15" w:type="dxa"/>
              <w:right w:w="15" w:type="dxa"/>
            </w:tcMar>
            <w:vAlign w:val="center"/>
            <w:hideMark/>
          </w:tcPr>
          <w:p w14:paraId="3F68CD0F" w14:textId="77777777" w:rsidR="00C54997" w:rsidRPr="00C54997" w:rsidRDefault="00C54997" w:rsidP="00C54997">
            <w:pPr>
              <w:rPr>
                <w:b/>
                <w:bCs/>
              </w:rPr>
            </w:pPr>
            <w:r w:rsidRPr="00C54997">
              <w:rPr>
                <w:b/>
                <w:bCs/>
              </w:rPr>
              <w:t>Outcome</w:t>
            </w:r>
          </w:p>
        </w:tc>
      </w:tr>
      <w:tr w:rsidR="00C54997" w:rsidRPr="00C54997" w14:paraId="37DD27B9" w14:textId="77777777" w:rsidTr="00C54997">
        <w:trPr>
          <w:tblCellSpacing w:w="15" w:type="dxa"/>
        </w:trPr>
        <w:tc>
          <w:tcPr>
            <w:tcW w:w="0" w:type="auto"/>
            <w:tcMar>
              <w:top w:w="15" w:type="dxa"/>
              <w:left w:w="15" w:type="dxa"/>
              <w:bottom w:w="15" w:type="dxa"/>
              <w:right w:w="15" w:type="dxa"/>
            </w:tcMar>
            <w:vAlign w:val="center"/>
            <w:hideMark/>
          </w:tcPr>
          <w:p w14:paraId="483E0A6B" w14:textId="77777777" w:rsidR="00C54997" w:rsidRPr="00C54997" w:rsidRDefault="00C54997" w:rsidP="00C54997">
            <w:r w:rsidRPr="00C54997">
              <w:rPr>
                <w:b/>
                <w:bCs/>
              </w:rPr>
              <w:t>Technology Planning</w:t>
            </w:r>
          </w:p>
        </w:tc>
        <w:tc>
          <w:tcPr>
            <w:tcW w:w="0" w:type="auto"/>
            <w:tcMar>
              <w:top w:w="15" w:type="dxa"/>
              <w:left w:w="15" w:type="dxa"/>
              <w:bottom w:w="15" w:type="dxa"/>
              <w:right w:w="15" w:type="dxa"/>
            </w:tcMar>
            <w:vAlign w:val="center"/>
            <w:hideMark/>
          </w:tcPr>
          <w:p w14:paraId="0F227487" w14:textId="77777777" w:rsidR="00C54997" w:rsidRPr="00C54997" w:rsidRDefault="00C54997" w:rsidP="00C54997">
            <w:r w:rsidRPr="00C54997">
              <w:t>Identify platform-enabling tools and anticipate what’s coming in digital bioprocessing and continuous manufacturing.</w:t>
            </w:r>
          </w:p>
        </w:tc>
      </w:tr>
      <w:tr w:rsidR="00C54997" w:rsidRPr="00C54997" w14:paraId="48F22995" w14:textId="77777777" w:rsidTr="00C54997">
        <w:trPr>
          <w:tblCellSpacing w:w="15" w:type="dxa"/>
        </w:trPr>
        <w:tc>
          <w:tcPr>
            <w:tcW w:w="0" w:type="auto"/>
            <w:tcMar>
              <w:top w:w="15" w:type="dxa"/>
              <w:left w:w="15" w:type="dxa"/>
              <w:bottom w:w="15" w:type="dxa"/>
              <w:right w:w="15" w:type="dxa"/>
            </w:tcMar>
            <w:vAlign w:val="center"/>
            <w:hideMark/>
          </w:tcPr>
          <w:p w14:paraId="3A49C564" w14:textId="77777777" w:rsidR="00C54997" w:rsidRPr="00C54997" w:rsidRDefault="00C54997" w:rsidP="00C54997">
            <w:r w:rsidRPr="00C54997">
              <w:rPr>
                <w:b/>
                <w:bCs/>
              </w:rPr>
              <w:t>Process &amp; People Alignment</w:t>
            </w:r>
          </w:p>
        </w:tc>
        <w:tc>
          <w:tcPr>
            <w:tcW w:w="0" w:type="auto"/>
            <w:tcMar>
              <w:top w:w="15" w:type="dxa"/>
              <w:left w:w="15" w:type="dxa"/>
              <w:bottom w:w="15" w:type="dxa"/>
              <w:right w:w="15" w:type="dxa"/>
            </w:tcMar>
            <w:vAlign w:val="center"/>
            <w:hideMark/>
          </w:tcPr>
          <w:p w14:paraId="3B26575C" w14:textId="77777777" w:rsidR="00C54997" w:rsidRPr="00C54997" w:rsidRDefault="00C54997" w:rsidP="00C54997">
            <w:r w:rsidRPr="00C54997">
              <w:t>Learn how other companies are structuring CMC, QA/QC, and tech transfer teams during key inflection points.</w:t>
            </w:r>
          </w:p>
        </w:tc>
      </w:tr>
      <w:tr w:rsidR="00C54997" w:rsidRPr="00C54997" w14:paraId="6A7F52F1" w14:textId="77777777" w:rsidTr="00C54997">
        <w:trPr>
          <w:tblCellSpacing w:w="15" w:type="dxa"/>
        </w:trPr>
        <w:tc>
          <w:tcPr>
            <w:tcW w:w="0" w:type="auto"/>
            <w:tcMar>
              <w:top w:w="15" w:type="dxa"/>
              <w:left w:w="15" w:type="dxa"/>
              <w:bottom w:w="15" w:type="dxa"/>
              <w:right w:w="15" w:type="dxa"/>
            </w:tcMar>
            <w:vAlign w:val="center"/>
            <w:hideMark/>
          </w:tcPr>
          <w:p w14:paraId="0D3205B6" w14:textId="77777777" w:rsidR="00C54997" w:rsidRPr="00C54997" w:rsidRDefault="00C54997" w:rsidP="00C54997">
            <w:r w:rsidRPr="00C54997">
              <w:rPr>
                <w:b/>
                <w:bCs/>
              </w:rPr>
              <w:t>Partnerships</w:t>
            </w:r>
          </w:p>
        </w:tc>
        <w:tc>
          <w:tcPr>
            <w:tcW w:w="0" w:type="auto"/>
            <w:tcMar>
              <w:top w:w="15" w:type="dxa"/>
              <w:left w:w="15" w:type="dxa"/>
              <w:bottom w:w="15" w:type="dxa"/>
              <w:right w:w="15" w:type="dxa"/>
            </w:tcMar>
            <w:vAlign w:val="center"/>
            <w:hideMark/>
          </w:tcPr>
          <w:p w14:paraId="5311BCA8" w14:textId="77777777" w:rsidR="00C54997" w:rsidRPr="00C54997" w:rsidRDefault="00C54997" w:rsidP="00C54997">
            <w:r w:rsidRPr="00C54997">
              <w:t>Engage with CDMOs, suppliers, and software vendors that can scale with us.</w:t>
            </w:r>
          </w:p>
        </w:tc>
      </w:tr>
      <w:tr w:rsidR="00C54997" w:rsidRPr="00C54997" w14:paraId="28816229" w14:textId="77777777" w:rsidTr="00C54997">
        <w:trPr>
          <w:tblCellSpacing w:w="15" w:type="dxa"/>
        </w:trPr>
        <w:tc>
          <w:tcPr>
            <w:tcW w:w="0" w:type="auto"/>
            <w:tcMar>
              <w:top w:w="15" w:type="dxa"/>
              <w:left w:w="15" w:type="dxa"/>
              <w:bottom w:w="15" w:type="dxa"/>
              <w:right w:w="15" w:type="dxa"/>
            </w:tcMar>
            <w:vAlign w:val="center"/>
            <w:hideMark/>
          </w:tcPr>
          <w:p w14:paraId="319DE68E" w14:textId="77777777" w:rsidR="00C54997" w:rsidRPr="00C54997" w:rsidRDefault="00C54997" w:rsidP="00C54997">
            <w:r w:rsidRPr="00C54997">
              <w:rPr>
                <w:b/>
                <w:bCs/>
              </w:rPr>
              <w:t>Regulatory &amp; Risk</w:t>
            </w:r>
          </w:p>
        </w:tc>
        <w:tc>
          <w:tcPr>
            <w:tcW w:w="0" w:type="auto"/>
            <w:tcMar>
              <w:top w:w="15" w:type="dxa"/>
              <w:left w:w="15" w:type="dxa"/>
              <w:bottom w:w="15" w:type="dxa"/>
              <w:right w:w="15" w:type="dxa"/>
            </w:tcMar>
            <w:vAlign w:val="center"/>
            <w:hideMark/>
          </w:tcPr>
          <w:p w14:paraId="11A2AADC" w14:textId="77777777" w:rsidR="00C54997" w:rsidRPr="00C54997" w:rsidRDefault="00C54997" w:rsidP="00C54997">
            <w:r w:rsidRPr="00C54997">
              <w:t>Gather insights into global expectations for process robustness, comparability, and IND-enabling packages.</w:t>
            </w:r>
          </w:p>
        </w:tc>
      </w:tr>
      <w:tr w:rsidR="00C54997" w:rsidRPr="00C54997" w14:paraId="4287102D" w14:textId="77777777" w:rsidTr="00C54997">
        <w:trPr>
          <w:tblCellSpacing w:w="15" w:type="dxa"/>
        </w:trPr>
        <w:tc>
          <w:tcPr>
            <w:tcW w:w="0" w:type="auto"/>
            <w:tcMar>
              <w:top w:w="15" w:type="dxa"/>
              <w:left w:w="15" w:type="dxa"/>
              <w:bottom w:w="15" w:type="dxa"/>
              <w:right w:w="15" w:type="dxa"/>
            </w:tcMar>
            <w:vAlign w:val="center"/>
            <w:hideMark/>
          </w:tcPr>
          <w:p w14:paraId="069F8721" w14:textId="77777777" w:rsidR="00C54997" w:rsidRPr="00C54997" w:rsidRDefault="00C54997" w:rsidP="00C54997">
            <w:r w:rsidRPr="00C54997">
              <w:rPr>
                <w:b/>
                <w:bCs/>
              </w:rPr>
              <w:t>Team Empowerment</w:t>
            </w:r>
          </w:p>
        </w:tc>
        <w:tc>
          <w:tcPr>
            <w:tcW w:w="0" w:type="auto"/>
            <w:tcMar>
              <w:top w:w="15" w:type="dxa"/>
              <w:left w:w="15" w:type="dxa"/>
              <w:bottom w:w="15" w:type="dxa"/>
              <w:right w:w="15" w:type="dxa"/>
            </w:tcMar>
            <w:vAlign w:val="center"/>
            <w:hideMark/>
          </w:tcPr>
          <w:p w14:paraId="310FB45D" w14:textId="77777777" w:rsidR="00C54997" w:rsidRPr="00C54997" w:rsidRDefault="00C54997" w:rsidP="00C54997">
            <w:r w:rsidRPr="00C54997">
              <w:t>Bring back strategic direction and resources that my team can implement.</w:t>
            </w:r>
          </w:p>
        </w:tc>
      </w:tr>
    </w:tbl>
    <w:p w14:paraId="5284779F" w14:textId="77777777" w:rsidR="00C54997" w:rsidRPr="00C54997" w:rsidRDefault="00C54997" w:rsidP="00C54997">
      <w:r w:rsidRPr="00C54997">
        <w:pict w14:anchorId="73FFF708">
          <v:rect id="_x0000_i1058" style="width:468pt;height:1pt" o:hralign="center" o:hrstd="t" o:hr="t" fillcolor="#a0a0a0" stroked="f"/>
        </w:pict>
      </w:r>
    </w:p>
    <w:p w14:paraId="3EEDF078" w14:textId="77777777" w:rsidR="00C54997" w:rsidRPr="00C54997" w:rsidRDefault="00C54997" w:rsidP="00C54997">
      <w:pPr>
        <w:rPr>
          <w:b/>
          <w:bCs/>
        </w:rPr>
      </w:pPr>
      <w:r w:rsidRPr="00C54997">
        <w:rPr>
          <w:rFonts w:ascii="Segoe UI Emoji" w:hAnsi="Segoe UI Emoji" w:cs="Segoe UI Emoji"/>
          <w:b/>
          <w:bCs/>
        </w:rPr>
        <w:t>💰</w:t>
      </w:r>
      <w:r w:rsidRPr="00C54997">
        <w:rPr>
          <w:b/>
          <w:bCs/>
        </w:rPr>
        <w:t xml:space="preserve"> Budget &amp; ROI Summary</w:t>
      </w:r>
    </w:p>
    <w:tbl>
      <w:tblPr>
        <w:tblW w:w="0" w:type="auto"/>
        <w:tblCellSpacing w:w="15" w:type="dxa"/>
        <w:tblLook w:val="04A0" w:firstRow="1" w:lastRow="0" w:firstColumn="1" w:lastColumn="0" w:noHBand="0" w:noVBand="1"/>
      </w:tblPr>
      <w:tblGrid>
        <w:gridCol w:w="2190"/>
        <w:gridCol w:w="6836"/>
      </w:tblGrid>
      <w:tr w:rsidR="00C54997" w:rsidRPr="00C54997" w14:paraId="37C5FBE6" w14:textId="77777777" w:rsidTr="00C54997">
        <w:trPr>
          <w:tblHeader/>
          <w:tblCellSpacing w:w="15" w:type="dxa"/>
        </w:trPr>
        <w:tc>
          <w:tcPr>
            <w:tcW w:w="0" w:type="auto"/>
            <w:tcMar>
              <w:top w:w="15" w:type="dxa"/>
              <w:left w:w="15" w:type="dxa"/>
              <w:bottom w:w="15" w:type="dxa"/>
              <w:right w:w="15" w:type="dxa"/>
            </w:tcMar>
            <w:vAlign w:val="center"/>
            <w:hideMark/>
          </w:tcPr>
          <w:p w14:paraId="492F000A" w14:textId="77777777" w:rsidR="00C54997" w:rsidRPr="00C54997" w:rsidRDefault="00C54997" w:rsidP="00C54997">
            <w:pPr>
              <w:rPr>
                <w:b/>
                <w:bCs/>
              </w:rPr>
            </w:pPr>
            <w:r w:rsidRPr="00C54997">
              <w:rPr>
                <w:b/>
                <w:bCs/>
              </w:rPr>
              <w:t>Item</w:t>
            </w:r>
          </w:p>
        </w:tc>
        <w:tc>
          <w:tcPr>
            <w:tcW w:w="0" w:type="auto"/>
            <w:tcMar>
              <w:top w:w="15" w:type="dxa"/>
              <w:left w:w="15" w:type="dxa"/>
              <w:bottom w:w="15" w:type="dxa"/>
              <w:right w:w="15" w:type="dxa"/>
            </w:tcMar>
            <w:vAlign w:val="center"/>
            <w:hideMark/>
          </w:tcPr>
          <w:p w14:paraId="2B214E4F" w14:textId="77777777" w:rsidR="00C54997" w:rsidRPr="00C54997" w:rsidRDefault="00C54997" w:rsidP="00C54997">
            <w:pPr>
              <w:rPr>
                <w:b/>
                <w:bCs/>
              </w:rPr>
            </w:pPr>
            <w:r w:rsidRPr="00C54997">
              <w:rPr>
                <w:b/>
                <w:bCs/>
              </w:rPr>
              <w:t>Estimate</w:t>
            </w:r>
          </w:p>
        </w:tc>
      </w:tr>
      <w:tr w:rsidR="00C54997" w:rsidRPr="00C54997" w14:paraId="2990AF81" w14:textId="77777777" w:rsidTr="00C54997">
        <w:trPr>
          <w:tblCellSpacing w:w="15" w:type="dxa"/>
        </w:trPr>
        <w:tc>
          <w:tcPr>
            <w:tcW w:w="0" w:type="auto"/>
            <w:tcMar>
              <w:top w:w="15" w:type="dxa"/>
              <w:left w:w="15" w:type="dxa"/>
              <w:bottom w:w="15" w:type="dxa"/>
              <w:right w:w="15" w:type="dxa"/>
            </w:tcMar>
            <w:vAlign w:val="center"/>
            <w:hideMark/>
          </w:tcPr>
          <w:p w14:paraId="415D802B" w14:textId="77777777" w:rsidR="00C54997" w:rsidRPr="00C54997" w:rsidRDefault="00C54997" w:rsidP="00C54997">
            <w:r w:rsidRPr="00C54997">
              <w:rPr>
                <w:b/>
                <w:bCs/>
              </w:rPr>
              <w:t>Conference Registration</w:t>
            </w:r>
          </w:p>
        </w:tc>
        <w:tc>
          <w:tcPr>
            <w:tcW w:w="0" w:type="auto"/>
            <w:tcMar>
              <w:top w:w="15" w:type="dxa"/>
              <w:left w:w="15" w:type="dxa"/>
              <w:bottom w:w="15" w:type="dxa"/>
              <w:right w:w="15" w:type="dxa"/>
            </w:tcMar>
            <w:vAlign w:val="center"/>
            <w:hideMark/>
          </w:tcPr>
          <w:p w14:paraId="3B0AD4C0" w14:textId="37D11164" w:rsidR="00C54997" w:rsidRPr="00C54997" w:rsidRDefault="00C54997" w:rsidP="00C54997">
            <w:r w:rsidRPr="00C54997">
              <w:t>~$</w:t>
            </w:r>
            <w:r>
              <w:t>4,099</w:t>
            </w:r>
          </w:p>
        </w:tc>
      </w:tr>
      <w:tr w:rsidR="00C54997" w:rsidRPr="00C54997" w14:paraId="1BA935CB" w14:textId="77777777" w:rsidTr="00C54997">
        <w:trPr>
          <w:tblCellSpacing w:w="15" w:type="dxa"/>
        </w:trPr>
        <w:tc>
          <w:tcPr>
            <w:tcW w:w="0" w:type="auto"/>
            <w:tcMar>
              <w:top w:w="15" w:type="dxa"/>
              <w:left w:w="15" w:type="dxa"/>
              <w:bottom w:w="15" w:type="dxa"/>
              <w:right w:w="15" w:type="dxa"/>
            </w:tcMar>
            <w:vAlign w:val="center"/>
            <w:hideMark/>
          </w:tcPr>
          <w:p w14:paraId="2EA9B4F7" w14:textId="77777777" w:rsidR="00C54997" w:rsidRPr="00C54997" w:rsidRDefault="00C54997" w:rsidP="00C54997">
            <w:r w:rsidRPr="00C54997">
              <w:rPr>
                <w:b/>
                <w:bCs/>
              </w:rPr>
              <w:t>Travel &amp; Lodging</w:t>
            </w:r>
          </w:p>
        </w:tc>
        <w:tc>
          <w:tcPr>
            <w:tcW w:w="0" w:type="auto"/>
            <w:tcMar>
              <w:top w:w="15" w:type="dxa"/>
              <w:left w:w="15" w:type="dxa"/>
              <w:bottom w:w="15" w:type="dxa"/>
              <w:right w:w="15" w:type="dxa"/>
            </w:tcMar>
            <w:vAlign w:val="center"/>
            <w:hideMark/>
          </w:tcPr>
          <w:p w14:paraId="3F903E0C" w14:textId="07E0D716" w:rsidR="00C54997" w:rsidRPr="00C54997" w:rsidRDefault="00C54997" w:rsidP="00C54997">
            <w:r>
              <w:t xml:space="preserve">Boston, 3-4 Days </w:t>
            </w:r>
          </w:p>
        </w:tc>
      </w:tr>
      <w:tr w:rsidR="00C54997" w:rsidRPr="00C54997" w14:paraId="03340A8E" w14:textId="77777777" w:rsidTr="00C54997">
        <w:trPr>
          <w:tblCellSpacing w:w="15" w:type="dxa"/>
        </w:trPr>
        <w:tc>
          <w:tcPr>
            <w:tcW w:w="0" w:type="auto"/>
            <w:tcMar>
              <w:top w:w="15" w:type="dxa"/>
              <w:left w:w="15" w:type="dxa"/>
              <w:bottom w:w="15" w:type="dxa"/>
              <w:right w:w="15" w:type="dxa"/>
            </w:tcMar>
            <w:vAlign w:val="center"/>
            <w:hideMark/>
          </w:tcPr>
          <w:p w14:paraId="458161A5" w14:textId="77777777" w:rsidR="00C54997" w:rsidRPr="00C54997" w:rsidRDefault="00C54997" w:rsidP="00C54997">
            <w:r w:rsidRPr="00C54997">
              <w:rPr>
                <w:b/>
                <w:bCs/>
              </w:rPr>
              <w:t>Deliverables</w:t>
            </w:r>
          </w:p>
        </w:tc>
        <w:tc>
          <w:tcPr>
            <w:tcW w:w="0" w:type="auto"/>
            <w:tcMar>
              <w:top w:w="15" w:type="dxa"/>
              <w:left w:w="15" w:type="dxa"/>
              <w:bottom w:w="15" w:type="dxa"/>
              <w:right w:w="15" w:type="dxa"/>
            </w:tcMar>
            <w:vAlign w:val="center"/>
            <w:hideMark/>
          </w:tcPr>
          <w:p w14:paraId="0F8BD9ED" w14:textId="77777777" w:rsidR="00C54997" w:rsidRPr="00C54997" w:rsidRDefault="00C54997" w:rsidP="00C54997">
            <w:r w:rsidRPr="00C54997">
              <w:t>Post-event leadership briefing, vendor summaries, and internal strategic recommendations</w:t>
            </w:r>
          </w:p>
        </w:tc>
      </w:tr>
    </w:tbl>
    <w:p w14:paraId="7E859890" w14:textId="77777777" w:rsidR="00C54997" w:rsidRPr="00C54997" w:rsidRDefault="00C54997" w:rsidP="00C54997">
      <w:r w:rsidRPr="00C54997">
        <w:pict w14:anchorId="3DB4E052">
          <v:rect id="_x0000_i1059" style="width:468pt;height:1pt" o:hralign="center" o:hrstd="t" o:hr="t" fillcolor="#a0a0a0" stroked="f"/>
        </w:pict>
      </w:r>
    </w:p>
    <w:p w14:paraId="663AC83F" w14:textId="77777777" w:rsidR="00C54997" w:rsidRPr="00C54997" w:rsidRDefault="00C54997" w:rsidP="00C54997">
      <w:pPr>
        <w:rPr>
          <w:b/>
          <w:bCs/>
        </w:rPr>
      </w:pPr>
      <w:r w:rsidRPr="00C54997">
        <w:rPr>
          <w:rFonts w:ascii="Segoe UI Emoji" w:hAnsi="Segoe UI Emoji" w:cs="Segoe UI Emoji"/>
          <w:b/>
          <w:bCs/>
        </w:rPr>
        <w:t>🎯</w:t>
      </w:r>
      <w:r w:rsidRPr="00C54997">
        <w:rPr>
          <w:b/>
          <w:bCs/>
        </w:rPr>
        <w:t xml:space="preserve"> Why It’s Essential I Attend Now</w:t>
      </w:r>
    </w:p>
    <w:p w14:paraId="7820F412" w14:textId="77777777" w:rsidR="00C54997" w:rsidRPr="00C54997" w:rsidRDefault="00C54997" w:rsidP="00C54997">
      <w:r w:rsidRPr="00C54997">
        <w:t>With our pipeline entering [e.g., IND-enabling, early clinical, tech transfer, scale-up] phase, and increasing complexity across sites, vendors, and modalities, </w:t>
      </w:r>
      <w:r w:rsidRPr="00C54997">
        <w:rPr>
          <w:b/>
          <w:bCs/>
        </w:rPr>
        <w:t>my presence at BPI ensures we are making the right platform-level decisions</w:t>
      </w:r>
      <w:r w:rsidRPr="00C54997">
        <w:t>—not just for the next experiment, but for the next two years of growth.</w:t>
      </w:r>
    </w:p>
    <w:p w14:paraId="234058EB" w14:textId="77777777" w:rsidR="00C54997" w:rsidRPr="00C54997" w:rsidRDefault="00C54997" w:rsidP="00C54997">
      <w:r w:rsidRPr="00C54997">
        <w:t>This is an investment in proactive leadership, strategic foresight, and industry engagement. I’d be happy to walk through how I’ll structure my attendance and report back value to the broader team.</w:t>
      </w:r>
    </w:p>
    <w:p w14:paraId="769FE4F1" w14:textId="77777777" w:rsidR="00C54997" w:rsidRPr="00C54997" w:rsidRDefault="00C54997" w:rsidP="00C54997">
      <w:r w:rsidRPr="00C54997">
        <w:t>Thank you for considering this.</w:t>
      </w:r>
    </w:p>
    <w:p w14:paraId="6F1EECE1" w14:textId="77777777" w:rsidR="00C54997" w:rsidRPr="00C54997" w:rsidRDefault="00C54997" w:rsidP="00C54997">
      <w:r w:rsidRPr="00C54997">
        <w:lastRenderedPageBreak/>
        <w:t>Best regards,</w:t>
      </w:r>
      <w:r w:rsidRPr="00C54997">
        <w:br/>
        <w:t>[Your Name]</w:t>
      </w:r>
      <w:r w:rsidRPr="00C54997">
        <w:br/>
        <w:t>Director, [Function or Department]</w:t>
      </w:r>
    </w:p>
    <w:p w14:paraId="0CC38AD3" w14:textId="77777777" w:rsidR="00623CD6" w:rsidRDefault="00623CD6"/>
    <w:sectPr w:rsidR="00623CD6">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5D581" w14:textId="77777777" w:rsidR="00C54997" w:rsidRDefault="00C54997" w:rsidP="00C54997">
      <w:pPr>
        <w:spacing w:after="0" w:line="240" w:lineRule="auto"/>
      </w:pPr>
      <w:r>
        <w:separator/>
      </w:r>
    </w:p>
  </w:endnote>
  <w:endnote w:type="continuationSeparator" w:id="0">
    <w:p w14:paraId="64CE44AB" w14:textId="77777777" w:rsidR="00C54997" w:rsidRDefault="00C54997" w:rsidP="00C5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60DF" w14:textId="186149E8" w:rsidR="00C54997" w:rsidRDefault="00C54997">
    <w:pPr>
      <w:pStyle w:val="Footer"/>
    </w:pPr>
    <w:r>
      <w:rPr>
        <w:noProof/>
      </w:rPr>
      <mc:AlternateContent>
        <mc:Choice Requires="wps">
          <w:drawing>
            <wp:anchor distT="0" distB="0" distL="0" distR="0" simplePos="0" relativeHeight="251659264" behindDoc="0" locked="0" layoutInCell="1" allowOverlap="1" wp14:anchorId="675CF5C9" wp14:editId="04508725">
              <wp:simplePos x="635" y="635"/>
              <wp:positionH relativeFrom="page">
                <wp:align>left</wp:align>
              </wp:positionH>
              <wp:positionV relativeFrom="page">
                <wp:align>bottom</wp:align>
              </wp:positionV>
              <wp:extent cx="2085975" cy="335280"/>
              <wp:effectExtent l="0" t="0" r="9525" b="0"/>
              <wp:wrapNone/>
              <wp:docPr id="891523206"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39A29888" w14:textId="2DC279D7" w:rsidR="00C54997" w:rsidRPr="00C54997" w:rsidRDefault="00C54997" w:rsidP="00C54997">
                          <w:pPr>
                            <w:spacing w:after="0"/>
                            <w:rPr>
                              <w:rFonts w:ascii="Rockwell" w:eastAsia="Rockwell" w:hAnsi="Rockwell" w:cs="Rockwell"/>
                              <w:noProof/>
                              <w:color w:val="0078D7"/>
                              <w:sz w:val="18"/>
                              <w:szCs w:val="18"/>
                            </w:rPr>
                          </w:pPr>
                          <w:r w:rsidRPr="00C54997">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5CF5C9"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39A29888" w14:textId="2DC279D7" w:rsidR="00C54997" w:rsidRPr="00C54997" w:rsidRDefault="00C54997" w:rsidP="00C54997">
                    <w:pPr>
                      <w:spacing w:after="0"/>
                      <w:rPr>
                        <w:rFonts w:ascii="Rockwell" w:eastAsia="Rockwell" w:hAnsi="Rockwell" w:cs="Rockwell"/>
                        <w:noProof/>
                        <w:color w:val="0078D7"/>
                        <w:sz w:val="18"/>
                        <w:szCs w:val="18"/>
                      </w:rPr>
                    </w:pPr>
                    <w:r w:rsidRPr="00C54997">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F776" w14:textId="34F53909" w:rsidR="00C54997" w:rsidRDefault="00C54997">
    <w:pPr>
      <w:pStyle w:val="Footer"/>
    </w:pPr>
    <w:r>
      <w:rPr>
        <w:noProof/>
      </w:rPr>
      <mc:AlternateContent>
        <mc:Choice Requires="wps">
          <w:drawing>
            <wp:anchor distT="0" distB="0" distL="0" distR="0" simplePos="0" relativeHeight="251660288" behindDoc="0" locked="0" layoutInCell="1" allowOverlap="1" wp14:anchorId="3E99ECAE" wp14:editId="56DF6F57">
              <wp:simplePos x="914400" y="10071100"/>
              <wp:positionH relativeFrom="page">
                <wp:align>left</wp:align>
              </wp:positionH>
              <wp:positionV relativeFrom="page">
                <wp:align>bottom</wp:align>
              </wp:positionV>
              <wp:extent cx="2085975" cy="335280"/>
              <wp:effectExtent l="0" t="0" r="9525" b="0"/>
              <wp:wrapNone/>
              <wp:docPr id="678302876"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34C7C084" w14:textId="6E316310" w:rsidR="00C54997" w:rsidRPr="00C54997" w:rsidRDefault="00C54997" w:rsidP="00C54997">
                          <w:pPr>
                            <w:spacing w:after="0"/>
                            <w:rPr>
                              <w:rFonts w:ascii="Rockwell" w:eastAsia="Rockwell" w:hAnsi="Rockwell" w:cs="Rockwell"/>
                              <w:noProof/>
                              <w:color w:val="0078D7"/>
                              <w:sz w:val="18"/>
                              <w:szCs w:val="18"/>
                            </w:rPr>
                          </w:pPr>
                          <w:r w:rsidRPr="00C54997">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99ECAE"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34C7C084" w14:textId="6E316310" w:rsidR="00C54997" w:rsidRPr="00C54997" w:rsidRDefault="00C54997" w:rsidP="00C54997">
                    <w:pPr>
                      <w:spacing w:after="0"/>
                      <w:rPr>
                        <w:rFonts w:ascii="Rockwell" w:eastAsia="Rockwell" w:hAnsi="Rockwell" w:cs="Rockwell"/>
                        <w:noProof/>
                        <w:color w:val="0078D7"/>
                        <w:sz w:val="18"/>
                        <w:szCs w:val="18"/>
                      </w:rPr>
                    </w:pPr>
                    <w:r w:rsidRPr="00C54997">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CBF8F" w14:textId="0F5732DC" w:rsidR="00C54997" w:rsidRDefault="00C54997">
    <w:pPr>
      <w:pStyle w:val="Footer"/>
    </w:pPr>
    <w:r>
      <w:rPr>
        <w:noProof/>
      </w:rPr>
      <mc:AlternateContent>
        <mc:Choice Requires="wps">
          <w:drawing>
            <wp:anchor distT="0" distB="0" distL="0" distR="0" simplePos="0" relativeHeight="251658240" behindDoc="0" locked="0" layoutInCell="1" allowOverlap="1" wp14:anchorId="1F46D699" wp14:editId="3E9A0EF2">
              <wp:simplePos x="635" y="635"/>
              <wp:positionH relativeFrom="page">
                <wp:align>left</wp:align>
              </wp:positionH>
              <wp:positionV relativeFrom="page">
                <wp:align>bottom</wp:align>
              </wp:positionV>
              <wp:extent cx="2085975" cy="335280"/>
              <wp:effectExtent l="0" t="0" r="9525" b="0"/>
              <wp:wrapNone/>
              <wp:docPr id="1578397910"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291E19EA" w14:textId="02D4E6C0" w:rsidR="00C54997" w:rsidRPr="00C54997" w:rsidRDefault="00C54997" w:rsidP="00C54997">
                          <w:pPr>
                            <w:spacing w:after="0"/>
                            <w:rPr>
                              <w:rFonts w:ascii="Rockwell" w:eastAsia="Rockwell" w:hAnsi="Rockwell" w:cs="Rockwell"/>
                              <w:noProof/>
                              <w:color w:val="0078D7"/>
                              <w:sz w:val="18"/>
                              <w:szCs w:val="18"/>
                            </w:rPr>
                          </w:pPr>
                          <w:r w:rsidRPr="00C54997">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46D699"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291E19EA" w14:textId="02D4E6C0" w:rsidR="00C54997" w:rsidRPr="00C54997" w:rsidRDefault="00C54997" w:rsidP="00C54997">
                    <w:pPr>
                      <w:spacing w:after="0"/>
                      <w:rPr>
                        <w:rFonts w:ascii="Rockwell" w:eastAsia="Rockwell" w:hAnsi="Rockwell" w:cs="Rockwell"/>
                        <w:noProof/>
                        <w:color w:val="0078D7"/>
                        <w:sz w:val="18"/>
                        <w:szCs w:val="18"/>
                      </w:rPr>
                    </w:pPr>
                    <w:r w:rsidRPr="00C54997">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EAD4B" w14:textId="77777777" w:rsidR="00C54997" w:rsidRDefault="00C54997" w:rsidP="00C54997">
      <w:pPr>
        <w:spacing w:after="0" w:line="240" w:lineRule="auto"/>
      </w:pPr>
      <w:r>
        <w:separator/>
      </w:r>
    </w:p>
  </w:footnote>
  <w:footnote w:type="continuationSeparator" w:id="0">
    <w:p w14:paraId="65433C52" w14:textId="77777777" w:rsidR="00C54997" w:rsidRDefault="00C54997" w:rsidP="00C54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640D9"/>
    <w:multiLevelType w:val="multilevel"/>
    <w:tmpl w:val="03368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6731950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97"/>
    <w:rsid w:val="000E75E1"/>
    <w:rsid w:val="00596210"/>
    <w:rsid w:val="00623CD6"/>
    <w:rsid w:val="00C54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5464"/>
  <w15:chartTrackingRefBased/>
  <w15:docId w15:val="{C4794750-6D38-4141-ABA1-439C978D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9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9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9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9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9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9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9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9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9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9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9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9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9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9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9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9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997"/>
    <w:rPr>
      <w:rFonts w:eastAsiaTheme="majorEastAsia" w:cstheme="majorBidi"/>
      <w:color w:val="272727" w:themeColor="text1" w:themeTint="D8"/>
    </w:rPr>
  </w:style>
  <w:style w:type="paragraph" w:styleId="Title">
    <w:name w:val="Title"/>
    <w:basedOn w:val="Normal"/>
    <w:next w:val="Normal"/>
    <w:link w:val="TitleChar"/>
    <w:uiPriority w:val="10"/>
    <w:qFormat/>
    <w:rsid w:val="00C54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9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9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997"/>
    <w:pPr>
      <w:spacing w:before="160"/>
      <w:jc w:val="center"/>
    </w:pPr>
    <w:rPr>
      <w:i/>
      <w:iCs/>
      <w:color w:val="404040" w:themeColor="text1" w:themeTint="BF"/>
    </w:rPr>
  </w:style>
  <w:style w:type="character" w:customStyle="1" w:styleId="QuoteChar">
    <w:name w:val="Quote Char"/>
    <w:basedOn w:val="DefaultParagraphFont"/>
    <w:link w:val="Quote"/>
    <w:uiPriority w:val="29"/>
    <w:rsid w:val="00C54997"/>
    <w:rPr>
      <w:i/>
      <w:iCs/>
      <w:color w:val="404040" w:themeColor="text1" w:themeTint="BF"/>
    </w:rPr>
  </w:style>
  <w:style w:type="paragraph" w:styleId="ListParagraph">
    <w:name w:val="List Paragraph"/>
    <w:basedOn w:val="Normal"/>
    <w:uiPriority w:val="34"/>
    <w:qFormat/>
    <w:rsid w:val="00C54997"/>
    <w:pPr>
      <w:ind w:left="720"/>
      <w:contextualSpacing/>
    </w:pPr>
  </w:style>
  <w:style w:type="character" w:styleId="IntenseEmphasis">
    <w:name w:val="Intense Emphasis"/>
    <w:basedOn w:val="DefaultParagraphFont"/>
    <w:uiPriority w:val="21"/>
    <w:qFormat/>
    <w:rsid w:val="00C54997"/>
    <w:rPr>
      <w:i/>
      <w:iCs/>
      <w:color w:val="0F4761" w:themeColor="accent1" w:themeShade="BF"/>
    </w:rPr>
  </w:style>
  <w:style w:type="paragraph" w:styleId="IntenseQuote">
    <w:name w:val="Intense Quote"/>
    <w:basedOn w:val="Normal"/>
    <w:next w:val="Normal"/>
    <w:link w:val="IntenseQuoteChar"/>
    <w:uiPriority w:val="30"/>
    <w:qFormat/>
    <w:rsid w:val="00C54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997"/>
    <w:rPr>
      <w:i/>
      <w:iCs/>
      <w:color w:val="0F4761" w:themeColor="accent1" w:themeShade="BF"/>
    </w:rPr>
  </w:style>
  <w:style w:type="character" w:styleId="IntenseReference">
    <w:name w:val="Intense Reference"/>
    <w:basedOn w:val="DefaultParagraphFont"/>
    <w:uiPriority w:val="32"/>
    <w:qFormat/>
    <w:rsid w:val="00C54997"/>
    <w:rPr>
      <w:b/>
      <w:bCs/>
      <w:smallCaps/>
      <w:color w:val="0F4761" w:themeColor="accent1" w:themeShade="BF"/>
      <w:spacing w:val="5"/>
    </w:rPr>
  </w:style>
  <w:style w:type="paragraph" w:styleId="Footer">
    <w:name w:val="footer"/>
    <w:basedOn w:val="Normal"/>
    <w:link w:val="FooterChar"/>
    <w:uiPriority w:val="99"/>
    <w:unhideWhenUsed/>
    <w:rsid w:val="00C54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52148">
      <w:bodyDiv w:val="1"/>
      <w:marLeft w:val="0"/>
      <w:marRight w:val="0"/>
      <w:marTop w:val="0"/>
      <w:marBottom w:val="0"/>
      <w:divBdr>
        <w:top w:val="none" w:sz="0" w:space="0" w:color="auto"/>
        <w:left w:val="none" w:sz="0" w:space="0" w:color="auto"/>
        <w:bottom w:val="none" w:sz="0" w:space="0" w:color="auto"/>
        <w:right w:val="none" w:sz="0" w:space="0" w:color="auto"/>
      </w:divBdr>
    </w:div>
    <w:div w:id="187931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Eden</dc:creator>
  <cp:keywords/>
  <dc:description/>
  <cp:lastModifiedBy>Turner, Eden</cp:lastModifiedBy>
  <cp:revision>1</cp:revision>
  <dcterms:created xsi:type="dcterms:W3CDTF">2025-08-05T15:47:00Z</dcterms:created>
  <dcterms:modified xsi:type="dcterms:W3CDTF">2025-08-05T15:50:00Z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5e1470d6,35239086,286e149c</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2025-08-05T15:50:32Z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9826f561-474c-4b4e-86a6-de985229f5f7</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ies>
</file>