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388A" w14:textId="77777777" w:rsidR="001F0129" w:rsidRPr="001F0129" w:rsidRDefault="001F0129" w:rsidP="001F0129">
      <w:r w:rsidRPr="001F0129">
        <w:rPr>
          <w:b/>
          <w:bCs/>
        </w:rPr>
        <w:t>Subject:</w:t>
      </w:r>
      <w:r w:rsidRPr="001F0129">
        <w:t> Strategic Opportunity: Exhibit at BioProcess International 2025</w:t>
      </w:r>
    </w:p>
    <w:p w14:paraId="3A0703F0" w14:textId="77777777" w:rsidR="001F0129" w:rsidRPr="001F0129" w:rsidRDefault="001F0129" w:rsidP="001F0129">
      <w:r w:rsidRPr="001F0129">
        <w:t>Dear [Boss’s Name],</w:t>
      </w:r>
    </w:p>
    <w:p w14:paraId="3A2EE70E" w14:textId="77777777" w:rsidR="001F0129" w:rsidRPr="001F0129" w:rsidRDefault="001F0129" w:rsidP="001F0129">
      <w:r w:rsidRPr="001F0129">
        <w:t>I’d like to formally recommend that we </w:t>
      </w:r>
      <w:r w:rsidRPr="001F0129">
        <w:rPr>
          <w:b/>
          <w:bCs/>
        </w:rPr>
        <w:t>exhibit at the BioProcess International Conference &amp; Exhibition</w:t>
      </w:r>
      <w:r w:rsidRPr="001F0129">
        <w:t>, happening </w:t>
      </w:r>
      <w:r w:rsidRPr="001F0129">
        <w:rPr>
          <w:b/>
          <w:bCs/>
        </w:rPr>
        <w:t>September 15–18, 2025 in Boston</w:t>
      </w:r>
      <w:r w:rsidRPr="001F0129">
        <w:t>. This is the </w:t>
      </w:r>
      <w:r w:rsidRPr="001F0129">
        <w:rPr>
          <w:b/>
          <w:bCs/>
        </w:rPr>
        <w:t>largest bioprocessing event in North America</w:t>
      </w:r>
      <w:r w:rsidRPr="001F0129">
        <w:t>, attracting 3,200+ decision-makers across biologics, vaccines, and advanced therapies—including process development scientists, heads of manufacturing, QA/QC leaders, and procurement teams from the world’s top biopharma companies.</w:t>
      </w:r>
    </w:p>
    <w:p w14:paraId="3462C7E6" w14:textId="77777777" w:rsidR="001F0129" w:rsidRPr="001F0129" w:rsidRDefault="001F0129" w:rsidP="001F0129">
      <w:r w:rsidRPr="001F0129">
        <w:pict w14:anchorId="7E169D5B">
          <v:rect id="_x0000_i1055" style="width:468pt;height:1pt" o:hralign="center" o:hrstd="t" o:hr="t" fillcolor="#a0a0a0" stroked="f"/>
        </w:pict>
      </w:r>
    </w:p>
    <w:p w14:paraId="4C9B84CA" w14:textId="77777777" w:rsidR="001F0129" w:rsidRPr="001F0129" w:rsidRDefault="001F0129" w:rsidP="001F0129">
      <w:pPr>
        <w:rPr>
          <w:b/>
          <w:bCs/>
        </w:rPr>
      </w:pPr>
      <w:r w:rsidRPr="001F0129">
        <w:rPr>
          <w:rFonts w:ascii="Segoe UI Emoji" w:hAnsi="Segoe UI Emoji" w:cs="Segoe UI Emoji"/>
          <w:b/>
          <w:bCs/>
        </w:rPr>
        <w:t>🎯</w:t>
      </w:r>
      <w:r w:rsidRPr="001F0129">
        <w:rPr>
          <w:b/>
          <w:bCs/>
        </w:rPr>
        <w:t xml:space="preserve"> Why This Event Aligns with Our Growth Strategy</w:t>
      </w:r>
    </w:p>
    <w:p w14:paraId="0542291B" w14:textId="77777777" w:rsidR="001F0129" w:rsidRPr="001F0129" w:rsidRDefault="001F0129" w:rsidP="001F0129">
      <w:r w:rsidRPr="001F0129">
        <w:rPr>
          <w:b/>
          <w:bCs/>
        </w:rPr>
        <w:t>1. Direct Access to Our Target Customers</w:t>
      </w:r>
      <w:r w:rsidRPr="001F0129">
        <w:br/>
        <w:t>95% of the top 50 global biopharma companies attend BPI. This includes major players like Pfizer, Amgen, GSK, Takeda, and emerging biotech firms—many of whom are actively sourcing solutions in [insert your category: CDMO services, analytics, digital tech, equipment, etc.].</w:t>
      </w:r>
    </w:p>
    <w:p w14:paraId="562F9D9D" w14:textId="77777777" w:rsidR="001F0129" w:rsidRPr="001F0129" w:rsidRDefault="001F0129" w:rsidP="001F0129">
      <w:r w:rsidRPr="001F0129">
        <w:rPr>
          <w:b/>
          <w:bCs/>
        </w:rPr>
        <w:t>2. Unmatched Brand Visibility</w:t>
      </w:r>
      <w:r w:rsidRPr="001F0129">
        <w:br/>
        <w:t>A booth on the show floor puts us in the same space as market leaders. With over </w:t>
      </w:r>
      <w:r w:rsidRPr="001F0129">
        <w:rPr>
          <w:b/>
          <w:bCs/>
        </w:rPr>
        <w:t>250 exhibiting companies</w:t>
      </w:r>
      <w:r w:rsidRPr="001F0129">
        <w:t>, it’s essential we maintain visibility, especially as our competitors will likely be represented.</w:t>
      </w:r>
    </w:p>
    <w:p w14:paraId="7BBE81B3" w14:textId="77777777" w:rsidR="001F0129" w:rsidRPr="001F0129" w:rsidRDefault="001F0129" w:rsidP="001F0129">
      <w:r w:rsidRPr="001F0129">
        <w:rPr>
          <w:b/>
          <w:bCs/>
        </w:rPr>
        <w:t>3. Generate Qualified Leads</w:t>
      </w:r>
      <w:r w:rsidRPr="001F0129">
        <w:br/>
        <w:t>BPI isn’t just a showcase—it’s an active buying environment. Attendees are hands-on practitioners and decision-makers looking to solve immediate technical challenges. Conversations here can turn into short-cycle opportunities, pilots, or long-term partnerships.</w:t>
      </w:r>
    </w:p>
    <w:p w14:paraId="56829EEC" w14:textId="00027A3F" w:rsidR="001F0129" w:rsidRPr="001F0129" w:rsidRDefault="001F0129" w:rsidP="001F0129">
      <w:r w:rsidRPr="001F0129">
        <w:rPr>
          <w:b/>
          <w:bCs/>
        </w:rPr>
        <w:t>4. Launch &amp; Position Our [Technology/Service]</w:t>
      </w:r>
      <w:r w:rsidRPr="001F0129">
        <w:br/>
        <w:t xml:space="preserve">With over 30 technical tracks, we can position our offering in alignment with the hottest themes: </w:t>
      </w:r>
      <w:r>
        <w:t xml:space="preserve">purification, upstream processing, </w:t>
      </w:r>
      <w:r w:rsidRPr="001F0129">
        <w:t>continuous manufacturing, digital bioprocessing, AAV analytics, PAT/QbD strategies, and more. Whether launching a new product or reinforcing our expertise, this event provides a high-ROI platform.</w:t>
      </w:r>
    </w:p>
    <w:p w14:paraId="6C1796FA" w14:textId="77777777" w:rsidR="001F0129" w:rsidRPr="001F0129" w:rsidRDefault="001F0129" w:rsidP="001F0129">
      <w:r w:rsidRPr="001F0129">
        <w:rPr>
          <w:b/>
          <w:bCs/>
        </w:rPr>
        <w:t>5. Strategic Networking Across the Ecosystem</w:t>
      </w:r>
      <w:r w:rsidRPr="001F0129">
        <w:br/>
        <w:t>We’ll have direct contact with process engineers, automation teams, CMC directors, and innovation scouts. This is a rare opportunity to engage across functions and build relationships beyond just BD/sales.</w:t>
      </w:r>
    </w:p>
    <w:p w14:paraId="6007ED74" w14:textId="77777777" w:rsidR="001F0129" w:rsidRPr="001F0129" w:rsidRDefault="001F0129" w:rsidP="001F0129">
      <w:r w:rsidRPr="001F0129">
        <w:pict w14:anchorId="449F981B">
          <v:rect id="_x0000_i1056" style="width:468pt;height:1pt" o:hralign="center" o:hrstd="t" o:hr="t" fillcolor="#a0a0a0" stroked="f"/>
        </w:pict>
      </w:r>
    </w:p>
    <w:p w14:paraId="2B2D6611" w14:textId="77777777" w:rsidR="001F0129" w:rsidRPr="001F0129" w:rsidRDefault="001F0129" w:rsidP="001F0129">
      <w:pPr>
        <w:rPr>
          <w:b/>
          <w:bCs/>
        </w:rPr>
      </w:pPr>
      <w:r w:rsidRPr="001F0129">
        <w:rPr>
          <w:rFonts w:ascii="Segoe UI Emoji" w:hAnsi="Segoe UI Emoji" w:cs="Segoe UI Emoji"/>
          <w:b/>
          <w:bCs/>
        </w:rPr>
        <w:t>📥</w:t>
      </w:r>
      <w:r w:rsidRPr="001F0129">
        <w:rPr>
          <w:b/>
          <w:bCs/>
        </w:rPr>
        <w:t xml:space="preserve"> Extended ROI: Post-Event Value</w:t>
      </w:r>
    </w:p>
    <w:p w14:paraId="07B1555F" w14:textId="2704CE2A" w:rsidR="001F0129" w:rsidRPr="001F0129" w:rsidRDefault="001F0129" w:rsidP="001F0129">
      <w:r w:rsidRPr="001F0129">
        <w:t>Beyond in-person meetings, we’ll gain </w:t>
      </w:r>
      <w:r w:rsidRPr="001F0129">
        <w:rPr>
          <w:b/>
          <w:bCs/>
        </w:rPr>
        <w:t>access to the full attendee list</w:t>
      </w:r>
      <w:r>
        <w:rPr>
          <w:b/>
          <w:bCs/>
        </w:rPr>
        <w:t xml:space="preserve">. </w:t>
      </w:r>
      <w:r w:rsidRPr="001F0129">
        <w:t>Additionally, as exhibitors we receive:</w:t>
      </w:r>
    </w:p>
    <w:p w14:paraId="3924E405" w14:textId="77777777" w:rsidR="001F0129" w:rsidRPr="001F0129" w:rsidRDefault="001F0129" w:rsidP="001F0129">
      <w:pPr>
        <w:numPr>
          <w:ilvl w:val="0"/>
          <w:numId w:val="1"/>
        </w:numPr>
      </w:pPr>
      <w:r w:rsidRPr="001F0129">
        <w:rPr>
          <w:b/>
          <w:bCs/>
        </w:rPr>
        <w:t>Digital lead capture</w:t>
      </w:r>
      <w:r w:rsidRPr="001F0129">
        <w:t> for every booth interaction</w:t>
      </w:r>
    </w:p>
    <w:p w14:paraId="574C6ABB" w14:textId="77777777" w:rsidR="001F0129" w:rsidRPr="001F0129" w:rsidRDefault="001F0129" w:rsidP="001F0129">
      <w:pPr>
        <w:numPr>
          <w:ilvl w:val="0"/>
          <w:numId w:val="1"/>
        </w:numPr>
      </w:pPr>
      <w:r w:rsidRPr="001F0129">
        <w:rPr>
          <w:b/>
          <w:bCs/>
        </w:rPr>
        <w:t>Listing in the online exhibitor directory</w:t>
      </w:r>
      <w:r w:rsidRPr="001F0129">
        <w:t> pre- and post-event</w:t>
      </w:r>
    </w:p>
    <w:p w14:paraId="29A77CC0" w14:textId="77777777" w:rsidR="001F0129" w:rsidRPr="001F0129" w:rsidRDefault="001F0129" w:rsidP="001F0129">
      <w:pPr>
        <w:numPr>
          <w:ilvl w:val="0"/>
          <w:numId w:val="1"/>
        </w:numPr>
      </w:pPr>
      <w:r w:rsidRPr="001F0129">
        <w:rPr>
          <w:b/>
          <w:bCs/>
        </w:rPr>
        <w:t>Ongoing visibility</w:t>
      </w:r>
      <w:r w:rsidRPr="001F0129">
        <w:t> via BPI’s digital platform and on-demand content hub</w:t>
      </w:r>
    </w:p>
    <w:p w14:paraId="19698C0C" w14:textId="77777777" w:rsidR="001F0129" w:rsidRPr="001F0129" w:rsidRDefault="001F0129" w:rsidP="001F0129">
      <w:pPr>
        <w:numPr>
          <w:ilvl w:val="0"/>
          <w:numId w:val="1"/>
        </w:numPr>
      </w:pPr>
      <w:r w:rsidRPr="001F0129">
        <w:rPr>
          <w:b/>
          <w:bCs/>
        </w:rPr>
        <w:t>Recorded presentations</w:t>
      </w:r>
      <w:r w:rsidRPr="001F0129">
        <w:t> from technical sessions to help our team stay informed on where the industry is headed</w:t>
      </w:r>
    </w:p>
    <w:p w14:paraId="012E67FA" w14:textId="77777777" w:rsidR="001F0129" w:rsidRPr="001F0129" w:rsidRDefault="001F0129" w:rsidP="001F0129">
      <w:r w:rsidRPr="001F0129">
        <w:lastRenderedPageBreak/>
        <w:t>These resources make exhibiting not just a 4-day event—but a </w:t>
      </w:r>
      <w:r w:rsidRPr="001F0129">
        <w:rPr>
          <w:b/>
          <w:bCs/>
        </w:rPr>
        <w:t>90-day lead-gen and brand-building campaign</w:t>
      </w:r>
      <w:r w:rsidRPr="001F0129">
        <w:t>.</w:t>
      </w:r>
    </w:p>
    <w:p w14:paraId="6C579D76" w14:textId="77777777" w:rsidR="001F0129" w:rsidRPr="001F0129" w:rsidRDefault="001F0129" w:rsidP="001F0129">
      <w:r w:rsidRPr="001F0129">
        <w:pict w14:anchorId="399B1AF3">
          <v:rect id="_x0000_i1057" style="width:468pt;height:1pt" o:hralign="center" o:hrstd="t" o:hr="t" fillcolor="#a0a0a0" stroked="f"/>
        </w:pict>
      </w:r>
    </w:p>
    <w:p w14:paraId="7840A82F" w14:textId="77777777" w:rsidR="001F0129" w:rsidRPr="001F0129" w:rsidRDefault="001F0129" w:rsidP="001F0129">
      <w:pPr>
        <w:rPr>
          <w:b/>
          <w:bCs/>
        </w:rPr>
      </w:pPr>
      <w:r w:rsidRPr="001F0129">
        <w:rPr>
          <w:rFonts w:ascii="Segoe UI Emoji" w:hAnsi="Segoe UI Emoji" w:cs="Segoe UI Emoji"/>
          <w:b/>
          <w:bCs/>
        </w:rPr>
        <w:t>💡</w:t>
      </w:r>
      <w:r w:rsidRPr="001F0129">
        <w:rPr>
          <w:b/>
          <w:bCs/>
        </w:rPr>
        <w:t xml:space="preserve"> What We Can Achieve by Exhibiting</w:t>
      </w:r>
    </w:p>
    <w:tbl>
      <w:tblPr>
        <w:tblW w:w="0" w:type="auto"/>
        <w:tblCellSpacing w:w="15" w:type="dxa"/>
        <w:tblLook w:val="04A0" w:firstRow="1" w:lastRow="0" w:firstColumn="1" w:lastColumn="0" w:noHBand="0" w:noVBand="1"/>
      </w:tblPr>
      <w:tblGrid>
        <w:gridCol w:w="2339"/>
        <w:gridCol w:w="6687"/>
      </w:tblGrid>
      <w:tr w:rsidR="001F0129" w:rsidRPr="001F0129" w14:paraId="578775E3" w14:textId="77777777" w:rsidTr="001F0129">
        <w:trPr>
          <w:tblHeader/>
          <w:tblCellSpacing w:w="15" w:type="dxa"/>
        </w:trPr>
        <w:tc>
          <w:tcPr>
            <w:tcW w:w="0" w:type="auto"/>
            <w:tcMar>
              <w:top w:w="15" w:type="dxa"/>
              <w:left w:w="15" w:type="dxa"/>
              <w:bottom w:w="15" w:type="dxa"/>
              <w:right w:w="15" w:type="dxa"/>
            </w:tcMar>
            <w:vAlign w:val="center"/>
            <w:hideMark/>
          </w:tcPr>
          <w:p w14:paraId="6381033D" w14:textId="77777777" w:rsidR="001F0129" w:rsidRPr="001F0129" w:rsidRDefault="001F0129" w:rsidP="001F0129">
            <w:pPr>
              <w:rPr>
                <w:b/>
                <w:bCs/>
              </w:rPr>
            </w:pPr>
            <w:r w:rsidRPr="001F0129">
              <w:rPr>
                <w:b/>
                <w:bCs/>
              </w:rPr>
              <w:t>Goal</w:t>
            </w:r>
          </w:p>
        </w:tc>
        <w:tc>
          <w:tcPr>
            <w:tcW w:w="0" w:type="auto"/>
            <w:tcMar>
              <w:top w:w="15" w:type="dxa"/>
              <w:left w:w="15" w:type="dxa"/>
              <w:bottom w:w="15" w:type="dxa"/>
              <w:right w:w="15" w:type="dxa"/>
            </w:tcMar>
            <w:vAlign w:val="center"/>
            <w:hideMark/>
          </w:tcPr>
          <w:p w14:paraId="67663837" w14:textId="77777777" w:rsidR="001F0129" w:rsidRPr="001F0129" w:rsidRDefault="001F0129" w:rsidP="001F0129">
            <w:pPr>
              <w:rPr>
                <w:b/>
                <w:bCs/>
              </w:rPr>
            </w:pPr>
            <w:r w:rsidRPr="001F0129">
              <w:rPr>
                <w:b/>
                <w:bCs/>
              </w:rPr>
              <w:t>How BPI Delivers</w:t>
            </w:r>
          </w:p>
        </w:tc>
      </w:tr>
      <w:tr w:rsidR="001F0129" w:rsidRPr="001F0129" w14:paraId="6869DB20" w14:textId="77777777" w:rsidTr="001F0129">
        <w:trPr>
          <w:tblCellSpacing w:w="15" w:type="dxa"/>
        </w:trPr>
        <w:tc>
          <w:tcPr>
            <w:tcW w:w="0" w:type="auto"/>
            <w:tcMar>
              <w:top w:w="15" w:type="dxa"/>
              <w:left w:w="15" w:type="dxa"/>
              <w:bottom w:w="15" w:type="dxa"/>
              <w:right w:w="15" w:type="dxa"/>
            </w:tcMar>
            <w:vAlign w:val="center"/>
            <w:hideMark/>
          </w:tcPr>
          <w:p w14:paraId="02C2727D" w14:textId="77777777" w:rsidR="001F0129" w:rsidRPr="001F0129" w:rsidRDefault="001F0129" w:rsidP="001F0129">
            <w:r w:rsidRPr="001F0129">
              <w:rPr>
                <w:b/>
                <w:bCs/>
              </w:rPr>
              <w:t>Lead Generation</w:t>
            </w:r>
          </w:p>
        </w:tc>
        <w:tc>
          <w:tcPr>
            <w:tcW w:w="0" w:type="auto"/>
            <w:tcMar>
              <w:top w:w="15" w:type="dxa"/>
              <w:left w:w="15" w:type="dxa"/>
              <w:bottom w:w="15" w:type="dxa"/>
              <w:right w:w="15" w:type="dxa"/>
            </w:tcMar>
            <w:vAlign w:val="center"/>
            <w:hideMark/>
          </w:tcPr>
          <w:p w14:paraId="78AEE3E6" w14:textId="77777777" w:rsidR="001F0129" w:rsidRPr="001F0129" w:rsidRDefault="001F0129" w:rsidP="001F0129">
            <w:r w:rsidRPr="001F0129">
              <w:t>Capture interest from qualified biopharma buyers, engineers, and R&amp;D leaders.</w:t>
            </w:r>
          </w:p>
        </w:tc>
      </w:tr>
      <w:tr w:rsidR="001F0129" w:rsidRPr="001F0129" w14:paraId="63035CB2" w14:textId="77777777" w:rsidTr="001F0129">
        <w:trPr>
          <w:tblCellSpacing w:w="15" w:type="dxa"/>
        </w:trPr>
        <w:tc>
          <w:tcPr>
            <w:tcW w:w="0" w:type="auto"/>
            <w:tcMar>
              <w:top w:w="15" w:type="dxa"/>
              <w:left w:w="15" w:type="dxa"/>
              <w:bottom w:w="15" w:type="dxa"/>
              <w:right w:w="15" w:type="dxa"/>
            </w:tcMar>
            <w:vAlign w:val="center"/>
            <w:hideMark/>
          </w:tcPr>
          <w:p w14:paraId="40085309" w14:textId="77777777" w:rsidR="001F0129" w:rsidRPr="001F0129" w:rsidRDefault="001F0129" w:rsidP="001F0129">
            <w:r w:rsidRPr="001F0129">
              <w:rPr>
                <w:b/>
                <w:bCs/>
              </w:rPr>
              <w:t>Brand Credibility</w:t>
            </w:r>
          </w:p>
        </w:tc>
        <w:tc>
          <w:tcPr>
            <w:tcW w:w="0" w:type="auto"/>
            <w:tcMar>
              <w:top w:w="15" w:type="dxa"/>
              <w:left w:w="15" w:type="dxa"/>
              <w:bottom w:w="15" w:type="dxa"/>
              <w:right w:w="15" w:type="dxa"/>
            </w:tcMar>
            <w:vAlign w:val="center"/>
            <w:hideMark/>
          </w:tcPr>
          <w:p w14:paraId="1A665624" w14:textId="77777777" w:rsidR="001F0129" w:rsidRPr="001F0129" w:rsidRDefault="001F0129" w:rsidP="001F0129">
            <w:r w:rsidRPr="001F0129">
              <w:t>Position our offering among top-tier industry innovators.</w:t>
            </w:r>
          </w:p>
        </w:tc>
      </w:tr>
      <w:tr w:rsidR="001F0129" w:rsidRPr="001F0129" w14:paraId="6E588CFF" w14:textId="77777777" w:rsidTr="001F0129">
        <w:trPr>
          <w:tblCellSpacing w:w="15" w:type="dxa"/>
        </w:trPr>
        <w:tc>
          <w:tcPr>
            <w:tcW w:w="0" w:type="auto"/>
            <w:tcMar>
              <w:top w:w="15" w:type="dxa"/>
              <w:left w:w="15" w:type="dxa"/>
              <w:bottom w:w="15" w:type="dxa"/>
              <w:right w:w="15" w:type="dxa"/>
            </w:tcMar>
            <w:vAlign w:val="center"/>
            <w:hideMark/>
          </w:tcPr>
          <w:p w14:paraId="13080CA8" w14:textId="77777777" w:rsidR="001F0129" w:rsidRPr="001F0129" w:rsidRDefault="001F0129" w:rsidP="001F0129">
            <w:r w:rsidRPr="001F0129">
              <w:rPr>
                <w:b/>
                <w:bCs/>
              </w:rPr>
              <w:t>Competitive Benchmarking</w:t>
            </w:r>
          </w:p>
        </w:tc>
        <w:tc>
          <w:tcPr>
            <w:tcW w:w="0" w:type="auto"/>
            <w:tcMar>
              <w:top w:w="15" w:type="dxa"/>
              <w:left w:w="15" w:type="dxa"/>
              <w:bottom w:w="15" w:type="dxa"/>
              <w:right w:w="15" w:type="dxa"/>
            </w:tcMar>
            <w:vAlign w:val="center"/>
            <w:hideMark/>
          </w:tcPr>
          <w:p w14:paraId="36DA4367" w14:textId="77777777" w:rsidR="001F0129" w:rsidRPr="001F0129" w:rsidRDefault="001F0129" w:rsidP="001F0129">
            <w:r w:rsidRPr="001F0129">
              <w:t>See how our competitors present and differentiate.</w:t>
            </w:r>
          </w:p>
        </w:tc>
      </w:tr>
      <w:tr w:rsidR="001F0129" w:rsidRPr="001F0129" w14:paraId="19E848A7" w14:textId="77777777" w:rsidTr="001F0129">
        <w:trPr>
          <w:tblCellSpacing w:w="15" w:type="dxa"/>
        </w:trPr>
        <w:tc>
          <w:tcPr>
            <w:tcW w:w="0" w:type="auto"/>
            <w:tcMar>
              <w:top w:w="15" w:type="dxa"/>
              <w:left w:w="15" w:type="dxa"/>
              <w:bottom w:w="15" w:type="dxa"/>
              <w:right w:w="15" w:type="dxa"/>
            </w:tcMar>
            <w:vAlign w:val="center"/>
            <w:hideMark/>
          </w:tcPr>
          <w:p w14:paraId="562616E2" w14:textId="77777777" w:rsidR="001F0129" w:rsidRPr="001F0129" w:rsidRDefault="001F0129" w:rsidP="001F0129">
            <w:r w:rsidRPr="001F0129">
              <w:rPr>
                <w:b/>
                <w:bCs/>
              </w:rPr>
              <w:t>Customer Insight</w:t>
            </w:r>
          </w:p>
        </w:tc>
        <w:tc>
          <w:tcPr>
            <w:tcW w:w="0" w:type="auto"/>
            <w:tcMar>
              <w:top w:w="15" w:type="dxa"/>
              <w:left w:w="15" w:type="dxa"/>
              <w:bottom w:w="15" w:type="dxa"/>
              <w:right w:w="15" w:type="dxa"/>
            </w:tcMar>
            <w:vAlign w:val="center"/>
            <w:hideMark/>
          </w:tcPr>
          <w:p w14:paraId="0E48CCDF" w14:textId="77777777" w:rsidR="001F0129" w:rsidRPr="001F0129" w:rsidRDefault="001F0129" w:rsidP="001F0129">
            <w:r w:rsidRPr="001F0129">
              <w:t>Hear firsthand the challenges our customers face in upstream, downstream, and analytical workflows.</w:t>
            </w:r>
          </w:p>
        </w:tc>
      </w:tr>
      <w:tr w:rsidR="001F0129" w:rsidRPr="001F0129" w14:paraId="45C63E84" w14:textId="77777777" w:rsidTr="001F0129">
        <w:trPr>
          <w:tblCellSpacing w:w="15" w:type="dxa"/>
        </w:trPr>
        <w:tc>
          <w:tcPr>
            <w:tcW w:w="0" w:type="auto"/>
            <w:tcMar>
              <w:top w:w="15" w:type="dxa"/>
              <w:left w:w="15" w:type="dxa"/>
              <w:bottom w:w="15" w:type="dxa"/>
              <w:right w:w="15" w:type="dxa"/>
            </w:tcMar>
            <w:vAlign w:val="center"/>
            <w:hideMark/>
          </w:tcPr>
          <w:p w14:paraId="7F37E6A3" w14:textId="77777777" w:rsidR="001F0129" w:rsidRPr="001F0129" w:rsidRDefault="001F0129" w:rsidP="001F0129">
            <w:r w:rsidRPr="001F0129">
              <w:rPr>
                <w:b/>
                <w:bCs/>
              </w:rPr>
              <w:t>Team Development</w:t>
            </w:r>
          </w:p>
        </w:tc>
        <w:tc>
          <w:tcPr>
            <w:tcW w:w="0" w:type="auto"/>
            <w:tcMar>
              <w:top w:w="15" w:type="dxa"/>
              <w:left w:w="15" w:type="dxa"/>
              <w:bottom w:w="15" w:type="dxa"/>
              <w:right w:w="15" w:type="dxa"/>
            </w:tcMar>
            <w:vAlign w:val="center"/>
            <w:hideMark/>
          </w:tcPr>
          <w:p w14:paraId="1E97EF5B" w14:textId="77777777" w:rsidR="001F0129" w:rsidRPr="001F0129" w:rsidRDefault="001F0129" w:rsidP="001F0129">
            <w:r w:rsidRPr="001F0129">
              <w:t>Use booth staffing as a development opportunity for BD, applications engineers, or product managers.</w:t>
            </w:r>
          </w:p>
        </w:tc>
      </w:tr>
    </w:tbl>
    <w:p w14:paraId="61591A3A" w14:textId="77777777" w:rsidR="001F0129" w:rsidRPr="001F0129" w:rsidRDefault="001F0129" w:rsidP="001F0129">
      <w:r w:rsidRPr="001F0129">
        <w:pict w14:anchorId="0E65BFA3">
          <v:rect id="_x0000_i1058" style="width:468pt;height:1pt" o:hralign="center" o:hrstd="t" o:hr="t" fillcolor="#a0a0a0" stroked="f"/>
        </w:pict>
      </w:r>
    </w:p>
    <w:p w14:paraId="32501FD4" w14:textId="186D7D4D" w:rsidR="001F0129" w:rsidRPr="001F0129" w:rsidRDefault="001F0129" w:rsidP="001F0129">
      <w:pPr>
        <w:rPr>
          <w:b/>
          <w:bCs/>
        </w:rPr>
      </w:pPr>
      <w:r w:rsidRPr="001F0129">
        <w:rPr>
          <w:rFonts w:ascii="Segoe UI Emoji" w:hAnsi="Segoe UI Emoji" w:cs="Segoe UI Emoji"/>
          <w:b/>
          <w:bCs/>
        </w:rPr>
        <w:t>💰</w:t>
      </w:r>
      <w:r w:rsidRPr="001F0129">
        <w:rPr>
          <w:b/>
          <w:bCs/>
        </w:rPr>
        <w:t xml:space="preserve"> Investment Overview</w:t>
      </w:r>
      <w:r>
        <w:rPr>
          <w:b/>
          <w:bCs/>
        </w:rPr>
        <w:t xml:space="preserve"> – Discussed with your Account Manager based on your Needs</w:t>
      </w:r>
    </w:p>
    <w:tbl>
      <w:tblPr>
        <w:tblW w:w="0" w:type="auto"/>
        <w:tblCellSpacing w:w="15" w:type="dxa"/>
        <w:tblLook w:val="04A0" w:firstRow="1" w:lastRow="0" w:firstColumn="1" w:lastColumn="0" w:noHBand="0" w:noVBand="1"/>
      </w:tblPr>
      <w:tblGrid>
        <w:gridCol w:w="2820"/>
        <w:gridCol w:w="5359"/>
      </w:tblGrid>
      <w:tr w:rsidR="001F0129" w:rsidRPr="001F0129" w14:paraId="304832A4" w14:textId="77777777" w:rsidTr="001F0129">
        <w:trPr>
          <w:tblHeader/>
          <w:tblCellSpacing w:w="15" w:type="dxa"/>
        </w:trPr>
        <w:tc>
          <w:tcPr>
            <w:tcW w:w="0" w:type="auto"/>
            <w:tcMar>
              <w:top w:w="15" w:type="dxa"/>
              <w:left w:w="15" w:type="dxa"/>
              <w:bottom w:w="15" w:type="dxa"/>
              <w:right w:w="15" w:type="dxa"/>
            </w:tcMar>
            <w:vAlign w:val="center"/>
            <w:hideMark/>
          </w:tcPr>
          <w:p w14:paraId="46E1CC0D" w14:textId="77777777" w:rsidR="001F0129" w:rsidRPr="001F0129" w:rsidRDefault="001F0129" w:rsidP="001F0129">
            <w:pPr>
              <w:rPr>
                <w:b/>
                <w:bCs/>
              </w:rPr>
            </w:pPr>
            <w:r w:rsidRPr="001F0129">
              <w:rPr>
                <w:b/>
                <w:bCs/>
              </w:rPr>
              <w:t>Item</w:t>
            </w:r>
          </w:p>
        </w:tc>
        <w:tc>
          <w:tcPr>
            <w:tcW w:w="0" w:type="auto"/>
            <w:tcMar>
              <w:top w:w="15" w:type="dxa"/>
              <w:left w:w="15" w:type="dxa"/>
              <w:bottom w:w="15" w:type="dxa"/>
              <w:right w:w="15" w:type="dxa"/>
            </w:tcMar>
            <w:vAlign w:val="center"/>
            <w:hideMark/>
          </w:tcPr>
          <w:p w14:paraId="5F5DE5DD" w14:textId="77777777" w:rsidR="001F0129" w:rsidRPr="001F0129" w:rsidRDefault="001F0129" w:rsidP="001F0129">
            <w:pPr>
              <w:rPr>
                <w:b/>
                <w:bCs/>
              </w:rPr>
            </w:pPr>
            <w:r w:rsidRPr="001F0129">
              <w:rPr>
                <w:b/>
                <w:bCs/>
              </w:rPr>
              <w:t>Estimate</w:t>
            </w:r>
          </w:p>
        </w:tc>
      </w:tr>
      <w:tr w:rsidR="001F0129" w:rsidRPr="001F0129" w14:paraId="2FF2D2FA" w14:textId="77777777" w:rsidTr="001F0129">
        <w:trPr>
          <w:tblCellSpacing w:w="15" w:type="dxa"/>
        </w:trPr>
        <w:tc>
          <w:tcPr>
            <w:tcW w:w="0" w:type="auto"/>
            <w:tcMar>
              <w:top w:w="15" w:type="dxa"/>
              <w:left w:w="15" w:type="dxa"/>
              <w:bottom w:w="15" w:type="dxa"/>
              <w:right w:w="15" w:type="dxa"/>
            </w:tcMar>
            <w:vAlign w:val="center"/>
            <w:hideMark/>
          </w:tcPr>
          <w:p w14:paraId="5CCB91DF" w14:textId="77777777" w:rsidR="001F0129" w:rsidRPr="001F0129" w:rsidRDefault="001F0129" w:rsidP="001F0129">
            <w:r w:rsidRPr="001F0129">
              <w:rPr>
                <w:b/>
                <w:bCs/>
              </w:rPr>
              <w:t>Booth Package (10x10)</w:t>
            </w:r>
          </w:p>
        </w:tc>
        <w:tc>
          <w:tcPr>
            <w:tcW w:w="0" w:type="auto"/>
            <w:tcMar>
              <w:top w:w="15" w:type="dxa"/>
              <w:left w:w="15" w:type="dxa"/>
              <w:bottom w:w="15" w:type="dxa"/>
              <w:right w:w="15" w:type="dxa"/>
            </w:tcMar>
            <w:vAlign w:val="center"/>
            <w:hideMark/>
          </w:tcPr>
          <w:p w14:paraId="08A7FF1E" w14:textId="77777777" w:rsidR="001F0129" w:rsidRPr="001F0129" w:rsidRDefault="001F0129" w:rsidP="001F0129">
            <w:r w:rsidRPr="001F0129">
              <w:t>$X,XXX – includes registration, listing, lead capture tools</w:t>
            </w:r>
          </w:p>
        </w:tc>
      </w:tr>
      <w:tr w:rsidR="001F0129" w:rsidRPr="001F0129" w14:paraId="71345FFC" w14:textId="77777777" w:rsidTr="001F0129">
        <w:trPr>
          <w:tblCellSpacing w:w="15" w:type="dxa"/>
        </w:trPr>
        <w:tc>
          <w:tcPr>
            <w:tcW w:w="0" w:type="auto"/>
            <w:tcMar>
              <w:top w:w="15" w:type="dxa"/>
              <w:left w:w="15" w:type="dxa"/>
              <w:bottom w:w="15" w:type="dxa"/>
              <w:right w:w="15" w:type="dxa"/>
            </w:tcMar>
            <w:vAlign w:val="center"/>
            <w:hideMark/>
          </w:tcPr>
          <w:p w14:paraId="119499B0" w14:textId="77777777" w:rsidR="001F0129" w:rsidRPr="001F0129" w:rsidRDefault="001F0129" w:rsidP="001F0129">
            <w:r w:rsidRPr="001F0129">
              <w:rPr>
                <w:b/>
                <w:bCs/>
              </w:rPr>
              <w:t>Travel &amp; Lodging</w:t>
            </w:r>
          </w:p>
        </w:tc>
        <w:tc>
          <w:tcPr>
            <w:tcW w:w="0" w:type="auto"/>
            <w:tcMar>
              <w:top w:w="15" w:type="dxa"/>
              <w:left w:w="15" w:type="dxa"/>
              <w:bottom w:w="15" w:type="dxa"/>
              <w:right w:w="15" w:type="dxa"/>
            </w:tcMar>
            <w:vAlign w:val="center"/>
            <w:hideMark/>
          </w:tcPr>
          <w:p w14:paraId="0CD8B8C0" w14:textId="77777777" w:rsidR="001F0129" w:rsidRPr="001F0129" w:rsidRDefault="001F0129" w:rsidP="001F0129">
            <w:r w:rsidRPr="001F0129">
              <w:t>~$X,XXX for [#] team members</w:t>
            </w:r>
          </w:p>
        </w:tc>
      </w:tr>
      <w:tr w:rsidR="001F0129" w:rsidRPr="001F0129" w14:paraId="2032B98D" w14:textId="77777777" w:rsidTr="001F0129">
        <w:trPr>
          <w:tblCellSpacing w:w="15" w:type="dxa"/>
        </w:trPr>
        <w:tc>
          <w:tcPr>
            <w:tcW w:w="0" w:type="auto"/>
            <w:tcMar>
              <w:top w:w="15" w:type="dxa"/>
              <w:left w:w="15" w:type="dxa"/>
              <w:bottom w:w="15" w:type="dxa"/>
              <w:right w:w="15" w:type="dxa"/>
            </w:tcMar>
            <w:vAlign w:val="center"/>
            <w:hideMark/>
          </w:tcPr>
          <w:p w14:paraId="01533645" w14:textId="77777777" w:rsidR="001F0129" w:rsidRPr="001F0129" w:rsidRDefault="001F0129" w:rsidP="001F0129">
            <w:r w:rsidRPr="001F0129">
              <w:rPr>
                <w:b/>
                <w:bCs/>
              </w:rPr>
              <w:t>Booth Collateral &amp; Shipping</w:t>
            </w:r>
          </w:p>
        </w:tc>
        <w:tc>
          <w:tcPr>
            <w:tcW w:w="0" w:type="auto"/>
            <w:tcMar>
              <w:top w:w="15" w:type="dxa"/>
              <w:left w:w="15" w:type="dxa"/>
              <w:bottom w:w="15" w:type="dxa"/>
              <w:right w:w="15" w:type="dxa"/>
            </w:tcMar>
            <w:vAlign w:val="center"/>
            <w:hideMark/>
          </w:tcPr>
          <w:p w14:paraId="7055A1F2" w14:textId="77777777" w:rsidR="001F0129" w:rsidRPr="001F0129" w:rsidRDefault="001F0129" w:rsidP="001F0129">
            <w:r w:rsidRPr="001F0129">
              <w:t>~$X,XXX</w:t>
            </w:r>
          </w:p>
        </w:tc>
      </w:tr>
    </w:tbl>
    <w:p w14:paraId="36AA5126" w14:textId="77777777" w:rsidR="001F0129" w:rsidRPr="001F0129" w:rsidRDefault="001F0129" w:rsidP="001F0129">
      <w:r w:rsidRPr="001F0129">
        <w:t>Optional add-ons include:</w:t>
      </w:r>
    </w:p>
    <w:p w14:paraId="3EF7EF0E" w14:textId="77777777" w:rsidR="001F0129" w:rsidRPr="001F0129" w:rsidRDefault="001F0129" w:rsidP="001F0129">
      <w:pPr>
        <w:numPr>
          <w:ilvl w:val="0"/>
          <w:numId w:val="2"/>
        </w:numPr>
      </w:pPr>
      <w:r w:rsidRPr="001F0129">
        <w:t>Speaking slot (via sponsor track)</w:t>
      </w:r>
    </w:p>
    <w:p w14:paraId="489AB42B" w14:textId="77777777" w:rsidR="001F0129" w:rsidRPr="001F0129" w:rsidRDefault="001F0129" w:rsidP="001F0129">
      <w:pPr>
        <w:numPr>
          <w:ilvl w:val="0"/>
          <w:numId w:val="2"/>
        </w:numPr>
      </w:pPr>
      <w:r w:rsidRPr="001F0129">
        <w:t>Sponsorship branding (aisle signs, lanyards, coffee break)</w:t>
      </w:r>
    </w:p>
    <w:p w14:paraId="511CE4DE" w14:textId="208F838F" w:rsidR="001F0129" w:rsidRPr="001F0129" w:rsidRDefault="001F0129" w:rsidP="002B6E5B">
      <w:pPr>
        <w:numPr>
          <w:ilvl w:val="0"/>
          <w:numId w:val="2"/>
        </w:numPr>
      </w:pPr>
      <w:r w:rsidRPr="001F0129">
        <w:t>Hosted lead-gen activities</w:t>
      </w:r>
      <w:r w:rsidRPr="001F0129">
        <w:pict w14:anchorId="70757E25">
          <v:rect id="_x0000_i1059" style="width:6in;height:1pt" o:hralign="center" o:hrstd="t" o:hr="t" fillcolor="#a0a0a0" stroked="f"/>
        </w:pict>
      </w:r>
    </w:p>
    <w:p w14:paraId="5C85012C" w14:textId="77777777" w:rsidR="001F0129" w:rsidRPr="001F0129" w:rsidRDefault="001F0129" w:rsidP="001F0129">
      <w:pPr>
        <w:rPr>
          <w:b/>
          <w:bCs/>
        </w:rPr>
      </w:pPr>
      <w:r w:rsidRPr="001F0129">
        <w:rPr>
          <w:rFonts w:ascii="Segoe UI Emoji" w:hAnsi="Segoe UI Emoji" w:cs="Segoe UI Emoji"/>
          <w:b/>
          <w:bCs/>
        </w:rPr>
        <w:t>🚀</w:t>
      </w:r>
      <w:r w:rsidRPr="001F0129">
        <w:rPr>
          <w:b/>
          <w:bCs/>
        </w:rPr>
        <w:t xml:space="preserve"> Why Now?</w:t>
      </w:r>
    </w:p>
    <w:p w14:paraId="758ADDBB" w14:textId="77777777" w:rsidR="001F0129" w:rsidRPr="001F0129" w:rsidRDefault="001F0129" w:rsidP="001F0129">
      <w:r w:rsidRPr="001F0129">
        <w:t>The biopharma industry is at an inflection point—facing pressures to modernize manufacturing, adopt digital solutions, and outsource smarter. BPI is where they go to find those partners. If we want to </w:t>
      </w:r>
      <w:r w:rsidRPr="001F0129">
        <w:rPr>
          <w:b/>
          <w:bCs/>
        </w:rPr>
        <w:t>cement our positioning as a trusted enabler of innovation</w:t>
      </w:r>
      <w:r w:rsidRPr="001F0129">
        <w:t>, this event is the best opportunity in 2025 to do so.</w:t>
      </w:r>
    </w:p>
    <w:p w14:paraId="6B694C96" w14:textId="77777777" w:rsidR="001F0129" w:rsidRPr="001F0129" w:rsidRDefault="001F0129" w:rsidP="001F0129">
      <w:r w:rsidRPr="001F0129">
        <w:t>I’d be happy to coordinate with the events team and share a proposed budget, booth location options, and pre-show outreach plan. Thank you for considering this strategic opportunity—I believe it could accelerate both our brand impact and commercial pipeline.</w:t>
      </w:r>
    </w:p>
    <w:p w14:paraId="2B209495" w14:textId="77777777" w:rsidR="001F0129" w:rsidRDefault="001F0129">
      <w:r w:rsidRPr="001F0129">
        <w:lastRenderedPageBreak/>
        <w:t>Best regards,</w:t>
      </w:r>
    </w:p>
    <w:p w14:paraId="059F2759" w14:textId="77777777" w:rsidR="001F0129" w:rsidRDefault="001F0129">
      <w:r w:rsidRPr="001F0129">
        <w:br/>
        <w:t>[Your Name]</w:t>
      </w:r>
    </w:p>
    <w:p w14:paraId="4BF60C1A" w14:textId="1BF0F2CB" w:rsidR="00623CD6" w:rsidRDefault="001F0129">
      <w:r w:rsidRPr="001F0129">
        <w:br/>
        <w:t>[Your Title]</w:t>
      </w:r>
    </w:p>
    <w:sectPr w:rsidR="00623C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B20A" w14:textId="77777777" w:rsidR="001F0129" w:rsidRDefault="001F0129" w:rsidP="001F0129">
      <w:pPr>
        <w:spacing w:after="0" w:line="240" w:lineRule="auto"/>
      </w:pPr>
      <w:r>
        <w:separator/>
      </w:r>
    </w:p>
  </w:endnote>
  <w:endnote w:type="continuationSeparator" w:id="0">
    <w:p w14:paraId="09586BA4" w14:textId="77777777" w:rsidR="001F0129" w:rsidRDefault="001F0129" w:rsidP="001F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BAF1" w14:textId="07E344E3" w:rsidR="001F0129" w:rsidRDefault="001F0129">
    <w:pPr>
      <w:pStyle w:val="Footer"/>
    </w:pPr>
    <w:r>
      <w:rPr>
        <w:noProof/>
      </w:rPr>
      <mc:AlternateContent>
        <mc:Choice Requires="wps">
          <w:drawing>
            <wp:anchor distT="0" distB="0" distL="0" distR="0" simplePos="0" relativeHeight="251659264" behindDoc="0" locked="0" layoutInCell="1" allowOverlap="1" wp14:anchorId="34D66426" wp14:editId="024A0AEC">
              <wp:simplePos x="635" y="635"/>
              <wp:positionH relativeFrom="page">
                <wp:align>left</wp:align>
              </wp:positionH>
              <wp:positionV relativeFrom="page">
                <wp:align>bottom</wp:align>
              </wp:positionV>
              <wp:extent cx="2085975" cy="335280"/>
              <wp:effectExtent l="0" t="0" r="9525" b="0"/>
              <wp:wrapNone/>
              <wp:docPr id="557422090"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F540A38" w14:textId="6618E713"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D66426"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F540A38" w14:textId="6618E713"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8AC8" w14:textId="06E30F55" w:rsidR="001F0129" w:rsidRDefault="001F0129">
    <w:pPr>
      <w:pStyle w:val="Footer"/>
    </w:pPr>
    <w:r>
      <w:rPr>
        <w:noProof/>
      </w:rPr>
      <mc:AlternateContent>
        <mc:Choice Requires="wps">
          <w:drawing>
            <wp:anchor distT="0" distB="0" distL="0" distR="0" simplePos="0" relativeHeight="251660288" behindDoc="0" locked="0" layoutInCell="1" allowOverlap="1" wp14:anchorId="4FCFF197" wp14:editId="628B7F9E">
              <wp:simplePos x="914400" y="10071100"/>
              <wp:positionH relativeFrom="page">
                <wp:align>left</wp:align>
              </wp:positionH>
              <wp:positionV relativeFrom="page">
                <wp:align>bottom</wp:align>
              </wp:positionV>
              <wp:extent cx="2085975" cy="335280"/>
              <wp:effectExtent l="0" t="0" r="9525" b="0"/>
              <wp:wrapNone/>
              <wp:docPr id="190808619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9804AFA" w14:textId="79C940F8"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FF197"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69804AFA" w14:textId="79C940F8"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0253" w14:textId="008E591A" w:rsidR="001F0129" w:rsidRDefault="001F0129">
    <w:pPr>
      <w:pStyle w:val="Footer"/>
    </w:pPr>
    <w:r>
      <w:rPr>
        <w:noProof/>
      </w:rPr>
      <mc:AlternateContent>
        <mc:Choice Requires="wps">
          <w:drawing>
            <wp:anchor distT="0" distB="0" distL="0" distR="0" simplePos="0" relativeHeight="251658240" behindDoc="0" locked="0" layoutInCell="1" allowOverlap="1" wp14:anchorId="6FFCDE7C" wp14:editId="75E8902B">
              <wp:simplePos x="635" y="635"/>
              <wp:positionH relativeFrom="page">
                <wp:align>left</wp:align>
              </wp:positionH>
              <wp:positionV relativeFrom="page">
                <wp:align>bottom</wp:align>
              </wp:positionV>
              <wp:extent cx="2085975" cy="335280"/>
              <wp:effectExtent l="0" t="0" r="9525" b="0"/>
              <wp:wrapNone/>
              <wp:docPr id="719723578"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3D46387" w14:textId="25FAE585"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FCDE7C"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23D46387" w14:textId="25FAE585" w:rsidR="001F0129" w:rsidRPr="001F0129" w:rsidRDefault="001F0129" w:rsidP="001F0129">
                    <w:pPr>
                      <w:spacing w:after="0"/>
                      <w:rPr>
                        <w:rFonts w:ascii="Rockwell" w:eastAsia="Rockwell" w:hAnsi="Rockwell" w:cs="Rockwell"/>
                        <w:noProof/>
                        <w:color w:val="0078D7"/>
                        <w:sz w:val="18"/>
                        <w:szCs w:val="18"/>
                      </w:rPr>
                    </w:pPr>
                    <w:r w:rsidRPr="001F012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3B4C" w14:textId="77777777" w:rsidR="001F0129" w:rsidRDefault="001F0129" w:rsidP="001F0129">
      <w:pPr>
        <w:spacing w:after="0" w:line="240" w:lineRule="auto"/>
      </w:pPr>
      <w:r>
        <w:separator/>
      </w:r>
    </w:p>
  </w:footnote>
  <w:footnote w:type="continuationSeparator" w:id="0">
    <w:p w14:paraId="5E9AD645" w14:textId="77777777" w:rsidR="001F0129" w:rsidRDefault="001F0129" w:rsidP="001F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73EC0"/>
    <w:multiLevelType w:val="multilevel"/>
    <w:tmpl w:val="3668B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6C2B"/>
    <w:multiLevelType w:val="multilevel"/>
    <w:tmpl w:val="18CA7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5411551">
    <w:abstractNumId w:val="0"/>
    <w:lvlOverride w:ilvl="0"/>
    <w:lvlOverride w:ilvl="1"/>
    <w:lvlOverride w:ilvl="2"/>
    <w:lvlOverride w:ilvl="3"/>
    <w:lvlOverride w:ilvl="4"/>
    <w:lvlOverride w:ilvl="5"/>
    <w:lvlOverride w:ilvl="6"/>
    <w:lvlOverride w:ilvl="7"/>
    <w:lvlOverride w:ilvl="8"/>
  </w:num>
  <w:num w:numId="2" w16cid:durableId="83722895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29"/>
    <w:rsid w:val="000E75E1"/>
    <w:rsid w:val="001F0129"/>
    <w:rsid w:val="00596210"/>
    <w:rsid w:val="0062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2461"/>
  <w15:chartTrackingRefBased/>
  <w15:docId w15:val="{DBE16248-9929-481C-B0D9-48F8B52C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129"/>
    <w:rPr>
      <w:rFonts w:eastAsiaTheme="majorEastAsia" w:cstheme="majorBidi"/>
      <w:color w:val="272727" w:themeColor="text1" w:themeTint="D8"/>
    </w:rPr>
  </w:style>
  <w:style w:type="paragraph" w:styleId="Title">
    <w:name w:val="Title"/>
    <w:basedOn w:val="Normal"/>
    <w:next w:val="Normal"/>
    <w:link w:val="TitleChar"/>
    <w:uiPriority w:val="10"/>
    <w:qFormat/>
    <w:rsid w:val="001F0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129"/>
    <w:pPr>
      <w:spacing w:before="160"/>
      <w:jc w:val="center"/>
    </w:pPr>
    <w:rPr>
      <w:i/>
      <w:iCs/>
      <w:color w:val="404040" w:themeColor="text1" w:themeTint="BF"/>
    </w:rPr>
  </w:style>
  <w:style w:type="character" w:customStyle="1" w:styleId="QuoteChar">
    <w:name w:val="Quote Char"/>
    <w:basedOn w:val="DefaultParagraphFont"/>
    <w:link w:val="Quote"/>
    <w:uiPriority w:val="29"/>
    <w:rsid w:val="001F0129"/>
    <w:rPr>
      <w:i/>
      <w:iCs/>
      <w:color w:val="404040" w:themeColor="text1" w:themeTint="BF"/>
    </w:rPr>
  </w:style>
  <w:style w:type="paragraph" w:styleId="ListParagraph">
    <w:name w:val="List Paragraph"/>
    <w:basedOn w:val="Normal"/>
    <w:uiPriority w:val="34"/>
    <w:qFormat/>
    <w:rsid w:val="001F0129"/>
    <w:pPr>
      <w:ind w:left="720"/>
      <w:contextualSpacing/>
    </w:pPr>
  </w:style>
  <w:style w:type="character" w:styleId="IntenseEmphasis">
    <w:name w:val="Intense Emphasis"/>
    <w:basedOn w:val="DefaultParagraphFont"/>
    <w:uiPriority w:val="21"/>
    <w:qFormat/>
    <w:rsid w:val="001F0129"/>
    <w:rPr>
      <w:i/>
      <w:iCs/>
      <w:color w:val="0F4761" w:themeColor="accent1" w:themeShade="BF"/>
    </w:rPr>
  </w:style>
  <w:style w:type="paragraph" w:styleId="IntenseQuote">
    <w:name w:val="Intense Quote"/>
    <w:basedOn w:val="Normal"/>
    <w:next w:val="Normal"/>
    <w:link w:val="IntenseQuoteChar"/>
    <w:uiPriority w:val="30"/>
    <w:qFormat/>
    <w:rsid w:val="001F0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129"/>
    <w:rPr>
      <w:i/>
      <w:iCs/>
      <w:color w:val="0F4761" w:themeColor="accent1" w:themeShade="BF"/>
    </w:rPr>
  </w:style>
  <w:style w:type="character" w:styleId="IntenseReference">
    <w:name w:val="Intense Reference"/>
    <w:basedOn w:val="DefaultParagraphFont"/>
    <w:uiPriority w:val="32"/>
    <w:qFormat/>
    <w:rsid w:val="001F0129"/>
    <w:rPr>
      <w:b/>
      <w:bCs/>
      <w:smallCaps/>
      <w:color w:val="0F4761" w:themeColor="accent1" w:themeShade="BF"/>
      <w:spacing w:val="5"/>
    </w:rPr>
  </w:style>
  <w:style w:type="paragraph" w:styleId="Footer">
    <w:name w:val="footer"/>
    <w:basedOn w:val="Normal"/>
    <w:link w:val="FooterChar"/>
    <w:uiPriority w:val="99"/>
    <w:unhideWhenUsed/>
    <w:rsid w:val="001F0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2240">
      <w:bodyDiv w:val="1"/>
      <w:marLeft w:val="0"/>
      <w:marRight w:val="0"/>
      <w:marTop w:val="0"/>
      <w:marBottom w:val="0"/>
      <w:divBdr>
        <w:top w:val="none" w:sz="0" w:space="0" w:color="auto"/>
        <w:left w:val="none" w:sz="0" w:space="0" w:color="auto"/>
        <w:bottom w:val="none" w:sz="0" w:space="0" w:color="auto"/>
        <w:right w:val="none" w:sz="0" w:space="0" w:color="auto"/>
      </w:divBdr>
    </w:div>
    <w:div w:id="14743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Eden</dc:creator>
  <cp:keywords/>
  <dc:description/>
  <cp:lastModifiedBy>Turner, Eden</cp:lastModifiedBy>
  <cp:revision>1</cp:revision>
  <dcterms:created xsi:type="dcterms:W3CDTF">2025-08-05T15:29:00Z</dcterms:created>
  <dcterms:modified xsi:type="dcterms:W3CDTF">2025-08-05T15:34:00Z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2ae61c3a,2139960a,71bb15b5</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2025-08-05T15:34:00Z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14bb8972-9865-4792-b261-476cce477d10</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