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EC78" w14:textId="77777777" w:rsidR="00543BBB" w:rsidRPr="00543BBB" w:rsidRDefault="00543BBB" w:rsidP="00543BBB">
      <w:r w:rsidRPr="00543BBB">
        <w:rPr>
          <w:b/>
          <w:bCs/>
        </w:rPr>
        <w:t>Subject:</w:t>
      </w:r>
      <w:r w:rsidRPr="00543BBB">
        <w:t> Request to Attend BioProcess International Conference, Boston (September 15–18,</w:t>
      </w:r>
      <w:r w:rsidRPr="00543BBB">
        <w:rPr>
          <w:rFonts w:ascii="Arial" w:hAnsi="Arial" w:cs="Arial"/>
        </w:rPr>
        <w:t> </w:t>
      </w:r>
      <w:r w:rsidRPr="00543BBB">
        <w:t>2025)</w:t>
      </w:r>
    </w:p>
    <w:p w14:paraId="30E3A01F" w14:textId="77777777" w:rsidR="00543BBB" w:rsidRPr="00543BBB" w:rsidRDefault="00543BBB" w:rsidP="00543BBB">
      <w:r w:rsidRPr="00543BBB">
        <w:t>Dear [Boss’s Name],</w:t>
      </w:r>
    </w:p>
    <w:p w14:paraId="278287A6" w14:textId="1B0FCAE6" w:rsidR="00543BBB" w:rsidRPr="00543BBB" w:rsidRDefault="00543BBB" w:rsidP="00543BBB">
      <w:r w:rsidRPr="00543BBB">
        <w:t>I hope you’re well. I’d like to propose attending </w:t>
      </w:r>
      <w:r w:rsidRPr="00543BBB">
        <w:rPr>
          <w:b/>
          <w:bCs/>
        </w:rPr>
        <w:t>BioProcess International Conference &amp; Exhibition</w:t>
      </w:r>
      <w:r w:rsidRPr="00543BBB">
        <w:t>, taking place </w:t>
      </w:r>
      <w:r w:rsidRPr="00543BBB">
        <w:rPr>
          <w:b/>
          <w:bCs/>
        </w:rPr>
        <w:t>September</w:t>
      </w:r>
      <w:r w:rsidRPr="00543BBB">
        <w:rPr>
          <w:rFonts w:ascii="Arial" w:hAnsi="Arial" w:cs="Arial"/>
          <w:b/>
          <w:bCs/>
        </w:rPr>
        <w:t> </w:t>
      </w:r>
      <w:r w:rsidRPr="00543BBB">
        <w:rPr>
          <w:b/>
          <w:bCs/>
        </w:rPr>
        <w:t>15–18,</w:t>
      </w:r>
      <w:r w:rsidRPr="00543BBB">
        <w:rPr>
          <w:rFonts w:ascii="Arial" w:hAnsi="Arial" w:cs="Arial"/>
          <w:b/>
          <w:bCs/>
        </w:rPr>
        <w:t> </w:t>
      </w:r>
      <w:r w:rsidRPr="00543BBB">
        <w:rPr>
          <w:b/>
          <w:bCs/>
        </w:rPr>
        <w:t>2025 in Boston</w:t>
      </w:r>
      <w:r w:rsidRPr="00543BBB">
        <w:t>. This premier forum draws over 3,200 bioprocessing professionals—including scientists from all the top 20 pharma and biotech companies—to explore the latest breakthroughs in biologics manufacturing, CMC analytics, cell and gene therapy production, and digital bioprocessing</w:t>
      </w:r>
      <w:r>
        <w:t xml:space="preserve">. </w:t>
      </w:r>
    </w:p>
    <w:p w14:paraId="559AC298" w14:textId="77777777" w:rsidR="00543BBB" w:rsidRPr="00543BBB" w:rsidRDefault="00543BBB" w:rsidP="00543BBB">
      <w:r w:rsidRPr="00543BBB">
        <w:pict w14:anchorId="61A04CA0">
          <v:rect id="_x0000_i1055" style="width:468pt;height:1pt" o:hralign="center" o:hrstd="t" o:hr="t" fillcolor="#a0a0a0" stroked="f"/>
        </w:pict>
      </w:r>
    </w:p>
    <w:p w14:paraId="2D283283" w14:textId="77777777" w:rsidR="00543BBB" w:rsidRPr="00543BBB" w:rsidRDefault="00543BBB" w:rsidP="00543BBB">
      <w:pPr>
        <w:rPr>
          <w:b/>
          <w:bCs/>
        </w:rPr>
      </w:pPr>
      <w:r w:rsidRPr="00543BBB">
        <w:rPr>
          <w:rFonts w:ascii="Segoe UI Emoji" w:hAnsi="Segoe UI Emoji" w:cs="Segoe UI Emoji"/>
          <w:b/>
          <w:bCs/>
        </w:rPr>
        <w:t>🚀</w:t>
      </w:r>
      <w:r w:rsidRPr="00543BBB">
        <w:rPr>
          <w:b/>
          <w:bCs/>
        </w:rPr>
        <w:t xml:space="preserve"> Strategic Value for Our Team</w:t>
      </w:r>
    </w:p>
    <w:p w14:paraId="7A2697A4" w14:textId="77777777" w:rsidR="00543BBB" w:rsidRPr="00543BBB" w:rsidRDefault="00543BBB" w:rsidP="00543BBB">
      <w:r w:rsidRPr="00543BBB">
        <w:rPr>
          <w:b/>
          <w:bCs/>
        </w:rPr>
        <w:t>1. Access the Full Spectrum of Critical Content</w:t>
      </w:r>
      <w:r w:rsidRPr="00543BBB">
        <w:br/>
        <w:t>The agenda spans upstream (cell line, culture, fed</w:t>
      </w:r>
      <w:r w:rsidRPr="00543BBB">
        <w:noBreakHyphen/>
        <w:t>batch/perfusion), downstream (continuous processing, purification), analytical characterization, quality, and manufacturing strategy—aligned with our current pipeline across monoclonals and advanced therapies.</w:t>
      </w:r>
    </w:p>
    <w:p w14:paraId="3594566E" w14:textId="47E78CF5" w:rsidR="00543BBB" w:rsidRPr="00543BBB" w:rsidRDefault="00543BBB" w:rsidP="00543BBB">
      <w:r w:rsidRPr="00543BBB">
        <w:rPr>
          <w:b/>
          <w:bCs/>
        </w:rPr>
        <w:t>2. Learn from Industry Case Studies &amp; Bring Back Proven Practices</w:t>
      </w:r>
      <w:r w:rsidRPr="00543BBB">
        <w:br/>
        <w:t>Sessions feature real-world examples: process intensification, scale-up success stories, and actionable workflows that we can evaluate and adopt.</w:t>
      </w:r>
    </w:p>
    <w:p w14:paraId="16C48A83" w14:textId="674040D0" w:rsidR="00543BBB" w:rsidRPr="00543BBB" w:rsidRDefault="00543BBB" w:rsidP="00543BBB">
      <w:r w:rsidRPr="00543BBB">
        <w:rPr>
          <w:b/>
          <w:bCs/>
        </w:rPr>
        <w:t>3. Network with Leading Experts and Peers</w:t>
      </w:r>
      <w:r w:rsidRPr="00543BBB">
        <w:br/>
        <w:t xml:space="preserve">Speakers include scientists from </w:t>
      </w:r>
      <w:r>
        <w:t>the Top 20 Biopharmaceutical companies</w:t>
      </w:r>
      <w:r w:rsidRPr="00543BBB">
        <w:t>—providing an unmatched opportunity to exchange ideas and validate our approaches against top-tier industry benchmarks.</w:t>
      </w:r>
    </w:p>
    <w:p w14:paraId="0D02812F" w14:textId="0B459659" w:rsidR="00543BBB" w:rsidRPr="00543BBB" w:rsidRDefault="00543BBB" w:rsidP="00543BBB">
      <w:r w:rsidRPr="00543BBB">
        <w:rPr>
          <w:b/>
          <w:bCs/>
        </w:rPr>
        <w:t>4. Tap into Emerging Technology &amp; Vendor Innovations</w:t>
      </w:r>
      <w:r w:rsidRPr="00543BBB">
        <w:br/>
        <w:t xml:space="preserve">Over 250 exhibitors will showcase tools for </w:t>
      </w:r>
      <w:r>
        <w:t xml:space="preserve">bioreactors, chromatography, </w:t>
      </w:r>
      <w:r w:rsidRPr="00543BBB">
        <w:t>continuous manufacturing, PAT/QbD, digital twins, single-use tech, and AI-powered analytics—many directly applicable to our goals</w:t>
      </w:r>
      <w:r>
        <w:t xml:space="preserve">. </w:t>
      </w:r>
    </w:p>
    <w:p w14:paraId="3422A764" w14:textId="77777777" w:rsidR="00543BBB" w:rsidRPr="00543BBB" w:rsidRDefault="00543BBB" w:rsidP="00543BBB">
      <w:r w:rsidRPr="00543BBB">
        <w:rPr>
          <w:b/>
          <w:bCs/>
        </w:rPr>
        <w:t>5. Maximize ROI Through Pre</w:t>
      </w:r>
      <w:r w:rsidRPr="00543BBB">
        <w:rPr>
          <w:b/>
          <w:bCs/>
        </w:rPr>
        <w:noBreakHyphen/>
        <w:t>Conference Workshops</w:t>
      </w:r>
      <w:r w:rsidRPr="00543BBB">
        <w:br/>
        <w:t>Optional workshops focus on continuous bioprocessing, CMC roadmap strategy, and integrated development—offering practical knowledge for immediate application.</w:t>
      </w:r>
    </w:p>
    <w:p w14:paraId="307C6D76" w14:textId="77777777" w:rsidR="00543BBB" w:rsidRPr="00543BBB" w:rsidRDefault="00543BBB" w:rsidP="00543BBB">
      <w:r w:rsidRPr="00543BBB">
        <w:pict w14:anchorId="5DA87F9F">
          <v:rect id="_x0000_i1056" style="width:468pt;height:1pt" o:hralign="center" o:hrstd="t" o:hr="t" fillcolor="#a0a0a0" stroked="f"/>
        </w:pict>
      </w:r>
    </w:p>
    <w:p w14:paraId="3080224F" w14:textId="77777777" w:rsidR="00543BBB" w:rsidRPr="00543BBB" w:rsidRDefault="00543BBB" w:rsidP="00543BBB">
      <w:pPr>
        <w:rPr>
          <w:b/>
          <w:bCs/>
        </w:rPr>
      </w:pPr>
      <w:r w:rsidRPr="00543BBB">
        <w:rPr>
          <w:rFonts w:ascii="Segoe UI Emoji" w:hAnsi="Segoe UI Emoji" w:cs="Segoe UI Emoji"/>
          <w:b/>
          <w:bCs/>
        </w:rPr>
        <w:t>📥</w:t>
      </w:r>
      <w:r w:rsidRPr="00543BBB">
        <w:rPr>
          <w:b/>
          <w:bCs/>
        </w:rPr>
        <w:t xml:space="preserve"> Extended ROI: Access to Post-Event Presentations</w:t>
      </w:r>
    </w:p>
    <w:p w14:paraId="3EB0ED64" w14:textId="77777777" w:rsidR="00543BBB" w:rsidRPr="00543BBB" w:rsidRDefault="00543BBB" w:rsidP="00543BBB">
      <w:r w:rsidRPr="00543BBB">
        <w:t>One of the most valuable aspects of BPI is the </w:t>
      </w:r>
      <w:r w:rsidRPr="00543BBB">
        <w:rPr>
          <w:b/>
          <w:bCs/>
        </w:rPr>
        <w:t>full access to recorded sessions, speaker presentations, and technical posters after the event</w:t>
      </w:r>
      <w:r w:rsidRPr="00543BBB">
        <w:t>. This ensures:</w:t>
      </w:r>
    </w:p>
    <w:p w14:paraId="248FF41D" w14:textId="77777777" w:rsidR="00543BBB" w:rsidRPr="00543BBB" w:rsidRDefault="00543BBB" w:rsidP="00543BBB">
      <w:pPr>
        <w:numPr>
          <w:ilvl w:val="0"/>
          <w:numId w:val="1"/>
        </w:numPr>
      </w:pPr>
      <w:r w:rsidRPr="00543BBB">
        <w:rPr>
          <w:b/>
          <w:bCs/>
        </w:rPr>
        <w:t>On-demand access</w:t>
      </w:r>
      <w:r w:rsidRPr="00543BBB">
        <w:t> to critical insights we may not be able to attend live (many sessions run concurrently).</w:t>
      </w:r>
    </w:p>
    <w:p w14:paraId="04A6616C" w14:textId="77777777" w:rsidR="00543BBB" w:rsidRPr="00543BBB" w:rsidRDefault="00543BBB" w:rsidP="00543BBB">
      <w:pPr>
        <w:numPr>
          <w:ilvl w:val="0"/>
          <w:numId w:val="1"/>
        </w:numPr>
      </w:pPr>
      <w:r w:rsidRPr="00543BBB">
        <w:rPr>
          <w:b/>
          <w:bCs/>
        </w:rPr>
        <w:t>Reusable reference materials</w:t>
      </w:r>
      <w:r w:rsidRPr="00543BBB">
        <w:t> for internal SOP improvements, tech transfer preparation, and regulatory documentation strategy.</w:t>
      </w:r>
    </w:p>
    <w:p w14:paraId="7DF42CD2" w14:textId="77777777" w:rsidR="00543BBB" w:rsidRPr="00543BBB" w:rsidRDefault="00543BBB" w:rsidP="00543BBB">
      <w:pPr>
        <w:numPr>
          <w:ilvl w:val="0"/>
          <w:numId w:val="1"/>
        </w:numPr>
      </w:pPr>
      <w:r w:rsidRPr="00543BBB">
        <w:rPr>
          <w:b/>
          <w:bCs/>
        </w:rPr>
        <w:t>Lasting value</w:t>
      </w:r>
      <w:r w:rsidRPr="00543BBB">
        <w:t>—we can return to these talks when we encounter similar challenges down the line (e.g., viral clearance bottlenecks, assay comparability, cell line stability).</w:t>
      </w:r>
    </w:p>
    <w:p w14:paraId="1B686429" w14:textId="77777777" w:rsidR="00543BBB" w:rsidRPr="00543BBB" w:rsidRDefault="00543BBB" w:rsidP="00543BBB">
      <w:r w:rsidRPr="00543BBB">
        <w:lastRenderedPageBreak/>
        <w:t>This makes the event not just a one-time investment, but a </w:t>
      </w:r>
      <w:r w:rsidRPr="00543BBB">
        <w:rPr>
          <w:b/>
          <w:bCs/>
        </w:rPr>
        <w:t>long-term technical and strategic resource</w:t>
      </w:r>
      <w:r w:rsidRPr="00543BBB">
        <w:t> for our teams.</w:t>
      </w:r>
    </w:p>
    <w:p w14:paraId="0ED733B7" w14:textId="77777777" w:rsidR="00543BBB" w:rsidRPr="00543BBB" w:rsidRDefault="00543BBB" w:rsidP="00543BBB">
      <w:r w:rsidRPr="00543BBB">
        <w:pict w14:anchorId="2434ED60">
          <v:rect id="_x0000_i1057" style="width:468pt;height:1pt" o:hralign="center" o:hrstd="t" o:hr="t" fillcolor="#a0a0a0" stroked="f"/>
        </w:pict>
      </w:r>
    </w:p>
    <w:p w14:paraId="70E7BD82" w14:textId="77777777" w:rsidR="00543BBB" w:rsidRPr="00543BBB" w:rsidRDefault="00543BBB" w:rsidP="00543BBB">
      <w:pPr>
        <w:rPr>
          <w:b/>
          <w:bCs/>
        </w:rPr>
      </w:pPr>
      <w:r w:rsidRPr="00543BBB">
        <w:rPr>
          <w:rFonts w:ascii="Segoe UI Emoji" w:hAnsi="Segoe UI Emoji" w:cs="Segoe UI Emoji"/>
          <w:b/>
          <w:bCs/>
        </w:rPr>
        <w:t>✅</w:t>
      </w:r>
      <w:r w:rsidRPr="00543BBB">
        <w:rPr>
          <w:b/>
          <w:bCs/>
        </w:rPr>
        <w:t xml:space="preserve"> Benefits to [Company Name]</w:t>
      </w:r>
    </w:p>
    <w:tbl>
      <w:tblPr>
        <w:tblW w:w="0" w:type="auto"/>
        <w:tblCellSpacing w:w="15" w:type="dxa"/>
        <w:tblLook w:val="04A0" w:firstRow="1" w:lastRow="0" w:firstColumn="1" w:lastColumn="0" w:noHBand="0" w:noVBand="1"/>
      </w:tblPr>
      <w:tblGrid>
        <w:gridCol w:w="1897"/>
        <w:gridCol w:w="7129"/>
      </w:tblGrid>
      <w:tr w:rsidR="00543BBB" w:rsidRPr="00543BBB" w14:paraId="7DCF1349" w14:textId="77777777" w:rsidTr="00543BBB">
        <w:trPr>
          <w:tblHeader/>
          <w:tblCellSpacing w:w="15" w:type="dxa"/>
        </w:trPr>
        <w:tc>
          <w:tcPr>
            <w:tcW w:w="0" w:type="auto"/>
            <w:tcMar>
              <w:top w:w="15" w:type="dxa"/>
              <w:left w:w="15" w:type="dxa"/>
              <w:bottom w:w="15" w:type="dxa"/>
              <w:right w:w="15" w:type="dxa"/>
            </w:tcMar>
            <w:vAlign w:val="center"/>
            <w:hideMark/>
          </w:tcPr>
          <w:p w14:paraId="055E0FC1" w14:textId="77777777" w:rsidR="00543BBB" w:rsidRPr="00543BBB" w:rsidRDefault="00543BBB" w:rsidP="00543BBB">
            <w:pPr>
              <w:rPr>
                <w:b/>
                <w:bCs/>
              </w:rPr>
            </w:pPr>
            <w:r w:rsidRPr="00543BBB">
              <w:rPr>
                <w:b/>
                <w:bCs/>
              </w:rPr>
              <w:t>Benefit Area</w:t>
            </w:r>
          </w:p>
        </w:tc>
        <w:tc>
          <w:tcPr>
            <w:tcW w:w="0" w:type="auto"/>
            <w:tcMar>
              <w:top w:w="15" w:type="dxa"/>
              <w:left w:w="15" w:type="dxa"/>
              <w:bottom w:w="15" w:type="dxa"/>
              <w:right w:w="15" w:type="dxa"/>
            </w:tcMar>
            <w:vAlign w:val="center"/>
            <w:hideMark/>
          </w:tcPr>
          <w:p w14:paraId="048F0568" w14:textId="77777777" w:rsidR="00543BBB" w:rsidRPr="00543BBB" w:rsidRDefault="00543BBB" w:rsidP="00543BBB">
            <w:pPr>
              <w:rPr>
                <w:b/>
                <w:bCs/>
              </w:rPr>
            </w:pPr>
            <w:r w:rsidRPr="00543BBB">
              <w:rPr>
                <w:b/>
                <w:bCs/>
              </w:rPr>
              <w:t>Expected Outcome</w:t>
            </w:r>
          </w:p>
        </w:tc>
      </w:tr>
      <w:tr w:rsidR="00543BBB" w:rsidRPr="00543BBB" w14:paraId="216C0BE8" w14:textId="77777777" w:rsidTr="00543BBB">
        <w:trPr>
          <w:tblCellSpacing w:w="15" w:type="dxa"/>
        </w:trPr>
        <w:tc>
          <w:tcPr>
            <w:tcW w:w="0" w:type="auto"/>
            <w:tcMar>
              <w:top w:w="15" w:type="dxa"/>
              <w:left w:w="15" w:type="dxa"/>
              <w:bottom w:w="15" w:type="dxa"/>
              <w:right w:w="15" w:type="dxa"/>
            </w:tcMar>
            <w:vAlign w:val="center"/>
            <w:hideMark/>
          </w:tcPr>
          <w:p w14:paraId="0C23D3AE" w14:textId="77777777" w:rsidR="00543BBB" w:rsidRPr="00543BBB" w:rsidRDefault="00543BBB" w:rsidP="00543BBB">
            <w:r w:rsidRPr="00543BBB">
              <w:rPr>
                <w:b/>
                <w:bCs/>
              </w:rPr>
              <w:t>Efficiency</w:t>
            </w:r>
          </w:p>
        </w:tc>
        <w:tc>
          <w:tcPr>
            <w:tcW w:w="0" w:type="auto"/>
            <w:tcMar>
              <w:top w:w="15" w:type="dxa"/>
              <w:left w:w="15" w:type="dxa"/>
              <w:bottom w:w="15" w:type="dxa"/>
              <w:right w:w="15" w:type="dxa"/>
            </w:tcMar>
            <w:vAlign w:val="center"/>
            <w:hideMark/>
          </w:tcPr>
          <w:p w14:paraId="557C6CF0" w14:textId="77777777" w:rsidR="00543BBB" w:rsidRPr="00543BBB" w:rsidRDefault="00543BBB" w:rsidP="00543BBB">
            <w:r w:rsidRPr="00543BBB">
              <w:t>Learn how to accelerate </w:t>
            </w:r>
            <w:r w:rsidRPr="00543BBB">
              <w:rPr>
                <w:b/>
                <w:bCs/>
              </w:rPr>
              <w:t>cell line development</w:t>
            </w:r>
            <w:r w:rsidRPr="00543BBB">
              <w:t>, </w:t>
            </w:r>
            <w:r w:rsidRPr="00543BBB">
              <w:rPr>
                <w:b/>
                <w:bCs/>
              </w:rPr>
              <w:t>upstream feeding strategies</w:t>
            </w:r>
            <w:r w:rsidRPr="00543BBB">
              <w:t>, and </w:t>
            </w:r>
            <w:r w:rsidRPr="00543BBB">
              <w:rPr>
                <w:b/>
                <w:bCs/>
              </w:rPr>
              <w:t>purification yields</w:t>
            </w:r>
            <w:r w:rsidRPr="00543BBB">
              <w:t>, reducing time-to-clinic.</w:t>
            </w:r>
          </w:p>
        </w:tc>
      </w:tr>
      <w:tr w:rsidR="00543BBB" w:rsidRPr="00543BBB" w14:paraId="46C341B2" w14:textId="77777777" w:rsidTr="00543BBB">
        <w:trPr>
          <w:tblCellSpacing w:w="15" w:type="dxa"/>
        </w:trPr>
        <w:tc>
          <w:tcPr>
            <w:tcW w:w="0" w:type="auto"/>
            <w:tcMar>
              <w:top w:w="15" w:type="dxa"/>
              <w:left w:w="15" w:type="dxa"/>
              <w:bottom w:w="15" w:type="dxa"/>
              <w:right w:w="15" w:type="dxa"/>
            </w:tcMar>
            <w:vAlign w:val="center"/>
            <w:hideMark/>
          </w:tcPr>
          <w:p w14:paraId="49117928" w14:textId="77777777" w:rsidR="00543BBB" w:rsidRPr="00543BBB" w:rsidRDefault="00543BBB" w:rsidP="00543BBB">
            <w:r w:rsidRPr="00543BBB">
              <w:rPr>
                <w:b/>
                <w:bCs/>
              </w:rPr>
              <w:t>Quality &amp; Regulatory</w:t>
            </w:r>
          </w:p>
        </w:tc>
        <w:tc>
          <w:tcPr>
            <w:tcW w:w="0" w:type="auto"/>
            <w:tcMar>
              <w:top w:w="15" w:type="dxa"/>
              <w:left w:w="15" w:type="dxa"/>
              <w:bottom w:w="15" w:type="dxa"/>
              <w:right w:w="15" w:type="dxa"/>
            </w:tcMar>
            <w:vAlign w:val="center"/>
            <w:hideMark/>
          </w:tcPr>
          <w:p w14:paraId="3E61BE03" w14:textId="77777777" w:rsidR="00543BBB" w:rsidRPr="00543BBB" w:rsidRDefault="00543BBB" w:rsidP="00543BBB">
            <w:r w:rsidRPr="00543BBB">
              <w:t>Up-to-date best practices in </w:t>
            </w:r>
            <w:r w:rsidRPr="00543BBB">
              <w:rPr>
                <w:b/>
                <w:bCs/>
              </w:rPr>
              <w:t>CQA analytics</w:t>
            </w:r>
            <w:r w:rsidRPr="00543BBB">
              <w:t>, </w:t>
            </w:r>
            <w:r w:rsidRPr="00543BBB">
              <w:rPr>
                <w:b/>
                <w:bCs/>
              </w:rPr>
              <w:t>comparability</w:t>
            </w:r>
            <w:r w:rsidRPr="00543BBB">
              <w:t>, and </w:t>
            </w:r>
            <w:r w:rsidRPr="00543BBB">
              <w:rPr>
                <w:b/>
                <w:bCs/>
              </w:rPr>
              <w:t>global regulatory expectations</w:t>
            </w:r>
            <w:r w:rsidRPr="00543BBB">
              <w:t>.</w:t>
            </w:r>
          </w:p>
        </w:tc>
      </w:tr>
      <w:tr w:rsidR="00543BBB" w:rsidRPr="00543BBB" w14:paraId="5C61BB9C" w14:textId="77777777" w:rsidTr="00543BBB">
        <w:trPr>
          <w:tblCellSpacing w:w="15" w:type="dxa"/>
        </w:trPr>
        <w:tc>
          <w:tcPr>
            <w:tcW w:w="0" w:type="auto"/>
            <w:tcMar>
              <w:top w:w="15" w:type="dxa"/>
              <w:left w:w="15" w:type="dxa"/>
              <w:bottom w:w="15" w:type="dxa"/>
              <w:right w:w="15" w:type="dxa"/>
            </w:tcMar>
            <w:vAlign w:val="center"/>
            <w:hideMark/>
          </w:tcPr>
          <w:p w14:paraId="4BBC23E1" w14:textId="77777777" w:rsidR="00543BBB" w:rsidRPr="00543BBB" w:rsidRDefault="00543BBB" w:rsidP="00543BBB">
            <w:r w:rsidRPr="00543BBB">
              <w:rPr>
                <w:b/>
                <w:bCs/>
              </w:rPr>
              <w:t>Innovation Pipeline</w:t>
            </w:r>
          </w:p>
        </w:tc>
        <w:tc>
          <w:tcPr>
            <w:tcW w:w="0" w:type="auto"/>
            <w:tcMar>
              <w:top w:w="15" w:type="dxa"/>
              <w:left w:w="15" w:type="dxa"/>
              <w:bottom w:w="15" w:type="dxa"/>
              <w:right w:w="15" w:type="dxa"/>
            </w:tcMar>
            <w:vAlign w:val="center"/>
            <w:hideMark/>
          </w:tcPr>
          <w:p w14:paraId="0BB93CE4" w14:textId="77777777" w:rsidR="00543BBB" w:rsidRPr="00543BBB" w:rsidRDefault="00543BBB" w:rsidP="00543BBB">
            <w:r w:rsidRPr="00543BBB">
              <w:t>Practical applications for mAbs, bispecifics, gene and cell therapies, and viral vectors.</w:t>
            </w:r>
          </w:p>
        </w:tc>
      </w:tr>
      <w:tr w:rsidR="00543BBB" w:rsidRPr="00543BBB" w14:paraId="7148DDF6" w14:textId="77777777" w:rsidTr="00543BBB">
        <w:trPr>
          <w:tblCellSpacing w:w="15" w:type="dxa"/>
        </w:trPr>
        <w:tc>
          <w:tcPr>
            <w:tcW w:w="0" w:type="auto"/>
            <w:tcMar>
              <w:top w:w="15" w:type="dxa"/>
              <w:left w:w="15" w:type="dxa"/>
              <w:bottom w:w="15" w:type="dxa"/>
              <w:right w:w="15" w:type="dxa"/>
            </w:tcMar>
            <w:vAlign w:val="center"/>
            <w:hideMark/>
          </w:tcPr>
          <w:p w14:paraId="2C674623" w14:textId="77777777" w:rsidR="00543BBB" w:rsidRPr="00543BBB" w:rsidRDefault="00543BBB" w:rsidP="00543BBB">
            <w:r w:rsidRPr="00543BBB">
              <w:rPr>
                <w:b/>
                <w:bCs/>
              </w:rPr>
              <w:t>Competitive Intelligence</w:t>
            </w:r>
          </w:p>
        </w:tc>
        <w:tc>
          <w:tcPr>
            <w:tcW w:w="0" w:type="auto"/>
            <w:tcMar>
              <w:top w:w="15" w:type="dxa"/>
              <w:left w:w="15" w:type="dxa"/>
              <w:bottom w:w="15" w:type="dxa"/>
              <w:right w:w="15" w:type="dxa"/>
            </w:tcMar>
            <w:vAlign w:val="center"/>
            <w:hideMark/>
          </w:tcPr>
          <w:p w14:paraId="10FA66DD" w14:textId="77777777" w:rsidR="00543BBB" w:rsidRPr="00543BBB" w:rsidRDefault="00543BBB" w:rsidP="00543BBB">
            <w:r w:rsidRPr="00543BBB">
              <w:t>Insight into tools and platforms being used by top pharma competitors.</w:t>
            </w:r>
          </w:p>
        </w:tc>
      </w:tr>
      <w:tr w:rsidR="00543BBB" w:rsidRPr="00543BBB" w14:paraId="3E012D49" w14:textId="77777777" w:rsidTr="00543BBB">
        <w:trPr>
          <w:tblCellSpacing w:w="15" w:type="dxa"/>
        </w:trPr>
        <w:tc>
          <w:tcPr>
            <w:tcW w:w="0" w:type="auto"/>
            <w:tcMar>
              <w:top w:w="15" w:type="dxa"/>
              <w:left w:w="15" w:type="dxa"/>
              <w:bottom w:w="15" w:type="dxa"/>
              <w:right w:w="15" w:type="dxa"/>
            </w:tcMar>
            <w:vAlign w:val="center"/>
            <w:hideMark/>
          </w:tcPr>
          <w:p w14:paraId="1378109E" w14:textId="77777777" w:rsidR="00543BBB" w:rsidRPr="00543BBB" w:rsidRDefault="00543BBB" w:rsidP="00543BBB">
            <w:r w:rsidRPr="00543BBB">
              <w:rPr>
                <w:b/>
                <w:bCs/>
              </w:rPr>
              <w:t>Internal Impact</w:t>
            </w:r>
          </w:p>
        </w:tc>
        <w:tc>
          <w:tcPr>
            <w:tcW w:w="0" w:type="auto"/>
            <w:tcMar>
              <w:top w:w="15" w:type="dxa"/>
              <w:left w:w="15" w:type="dxa"/>
              <w:bottom w:w="15" w:type="dxa"/>
              <w:right w:w="15" w:type="dxa"/>
            </w:tcMar>
            <w:vAlign w:val="center"/>
            <w:hideMark/>
          </w:tcPr>
          <w:p w14:paraId="002246C2" w14:textId="77777777" w:rsidR="00543BBB" w:rsidRPr="00543BBB" w:rsidRDefault="00543BBB" w:rsidP="00543BBB">
            <w:r w:rsidRPr="00543BBB">
              <w:t>Share learnings and slides with broader teams to inform platform strategies and vendor selection.</w:t>
            </w:r>
          </w:p>
        </w:tc>
      </w:tr>
    </w:tbl>
    <w:p w14:paraId="4E3314D3" w14:textId="77777777" w:rsidR="00543BBB" w:rsidRPr="00543BBB" w:rsidRDefault="00543BBB" w:rsidP="00543BBB">
      <w:r w:rsidRPr="00543BBB">
        <w:pict w14:anchorId="1D8343F5">
          <v:rect id="_x0000_i1058" style="width:468pt;height:1pt" o:hralign="center" o:hrstd="t" o:hr="t" fillcolor="#a0a0a0" stroked="f"/>
        </w:pict>
      </w:r>
    </w:p>
    <w:p w14:paraId="18B2B992" w14:textId="77777777" w:rsidR="00543BBB" w:rsidRPr="00543BBB" w:rsidRDefault="00543BBB" w:rsidP="00543BBB">
      <w:pPr>
        <w:rPr>
          <w:b/>
          <w:bCs/>
        </w:rPr>
      </w:pPr>
      <w:r w:rsidRPr="00543BBB">
        <w:rPr>
          <w:rFonts w:ascii="Segoe UI Emoji" w:hAnsi="Segoe UI Emoji" w:cs="Segoe UI Emoji"/>
          <w:b/>
          <w:bCs/>
        </w:rPr>
        <w:t>💰</w:t>
      </w:r>
      <w:r w:rsidRPr="00543BBB">
        <w:rPr>
          <w:b/>
          <w:bCs/>
        </w:rPr>
        <w:t xml:space="preserve"> Cost Summary</w:t>
      </w:r>
    </w:p>
    <w:p w14:paraId="1B85E47E" w14:textId="77777777" w:rsidR="00543BBB" w:rsidRPr="00543BBB" w:rsidRDefault="00543BBB" w:rsidP="00543BBB">
      <w:pPr>
        <w:numPr>
          <w:ilvl w:val="0"/>
          <w:numId w:val="2"/>
        </w:numPr>
      </w:pPr>
      <w:r w:rsidRPr="00543BBB">
        <w:rPr>
          <w:b/>
          <w:bCs/>
        </w:rPr>
        <w:t>Registration Fee:</w:t>
      </w:r>
      <w:r w:rsidRPr="00543BBB">
        <w:t> Early bird rate available through mid-August (significantly discounted for biopharma attendees)</w:t>
      </w:r>
    </w:p>
    <w:p w14:paraId="7A9B7010" w14:textId="77777777" w:rsidR="00543BBB" w:rsidRPr="00543BBB" w:rsidRDefault="00543BBB" w:rsidP="00543BBB">
      <w:pPr>
        <w:numPr>
          <w:ilvl w:val="0"/>
          <w:numId w:val="2"/>
        </w:numPr>
      </w:pPr>
      <w:r w:rsidRPr="00543BBB">
        <w:rPr>
          <w:b/>
          <w:bCs/>
        </w:rPr>
        <w:t>Travel &amp; Lodging:</w:t>
      </w:r>
      <w:r w:rsidRPr="00543BBB">
        <w:t> Boston, 3–4 days</w:t>
      </w:r>
    </w:p>
    <w:p w14:paraId="38272227" w14:textId="77777777" w:rsidR="00543BBB" w:rsidRPr="00543BBB" w:rsidRDefault="00543BBB" w:rsidP="00543BBB">
      <w:pPr>
        <w:numPr>
          <w:ilvl w:val="0"/>
          <w:numId w:val="2"/>
        </w:numPr>
      </w:pPr>
      <w:r w:rsidRPr="00543BBB">
        <w:rPr>
          <w:b/>
          <w:bCs/>
        </w:rPr>
        <w:t>Deliverables:</w:t>
      </w:r>
      <w:r w:rsidRPr="00543BBB">
        <w:t> Internal presentation summarizing key takeaways, vendor evaluation matrix, and team-wide content access</w:t>
      </w:r>
    </w:p>
    <w:p w14:paraId="50561440" w14:textId="77777777" w:rsidR="00543BBB" w:rsidRPr="00543BBB" w:rsidRDefault="00543BBB" w:rsidP="00543BBB">
      <w:r w:rsidRPr="00543BBB">
        <w:pict w14:anchorId="4FD2DDCD">
          <v:rect id="_x0000_i1059" style="width:6in;height:1pt" o:hralign="center" o:hrstd="t" o:hr="t" fillcolor="#a0a0a0" stroked="f"/>
        </w:pict>
      </w:r>
    </w:p>
    <w:p w14:paraId="1153AC2D" w14:textId="77777777" w:rsidR="00543BBB" w:rsidRPr="00543BBB" w:rsidRDefault="00543BBB" w:rsidP="00543BBB">
      <w:pPr>
        <w:rPr>
          <w:b/>
          <w:bCs/>
        </w:rPr>
      </w:pPr>
      <w:r w:rsidRPr="00543BBB">
        <w:rPr>
          <w:rFonts w:ascii="Segoe UI Emoji" w:hAnsi="Segoe UI Emoji" w:cs="Segoe UI Emoji"/>
          <w:b/>
          <w:bCs/>
        </w:rPr>
        <w:t>🎯</w:t>
      </w:r>
      <w:r w:rsidRPr="00543BBB">
        <w:rPr>
          <w:b/>
          <w:bCs/>
        </w:rPr>
        <w:t xml:space="preserve"> Why Now?</w:t>
      </w:r>
    </w:p>
    <w:p w14:paraId="5200F46B" w14:textId="77777777" w:rsidR="00543BBB" w:rsidRPr="00543BBB" w:rsidRDefault="00543BBB" w:rsidP="00543BBB">
      <w:r w:rsidRPr="00543BBB">
        <w:t>With our pipeline maturing and expectations for speed and quality increasing, BPI offers actionable strategies to strengthen our development capabilities. The ability to access </w:t>
      </w:r>
      <w:r w:rsidRPr="00543BBB">
        <w:rPr>
          <w:b/>
          <w:bCs/>
        </w:rPr>
        <w:t>both in-person networking and post-event recorded content</w:t>
      </w:r>
      <w:r w:rsidRPr="00543BBB">
        <w:t> maximizes learning and cross-functional alignment across R&amp;D, tech ops, and regulatory.</w:t>
      </w:r>
    </w:p>
    <w:p w14:paraId="09AD7DF2" w14:textId="77777777" w:rsidR="00543BBB" w:rsidRPr="00543BBB" w:rsidRDefault="00543BBB" w:rsidP="00543BBB">
      <w:r w:rsidRPr="00543BBB">
        <w:t>Thank you for considering this request—I’d be happy to discuss how to optimize my attendance for the greatest return to our organization.</w:t>
      </w:r>
    </w:p>
    <w:p w14:paraId="5FC574EB" w14:textId="77777777" w:rsidR="00543BBB" w:rsidRPr="00543BBB" w:rsidRDefault="00543BBB" w:rsidP="00543BBB">
      <w:r w:rsidRPr="00543BBB">
        <w:t>Best regards,</w:t>
      </w:r>
      <w:r w:rsidRPr="00543BBB">
        <w:br/>
        <w:t>[Your Name]</w:t>
      </w:r>
      <w:r w:rsidRPr="00543BBB">
        <w:br/>
        <w:t>[Your Title]</w:t>
      </w:r>
    </w:p>
    <w:p w14:paraId="46050E0A" w14:textId="77777777" w:rsidR="00623CD6" w:rsidRDefault="00623CD6"/>
    <w:sectPr w:rsidR="00623CD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3F30A" w14:textId="77777777" w:rsidR="00F444C7" w:rsidRDefault="00F444C7" w:rsidP="00F444C7">
      <w:pPr>
        <w:spacing w:after="0" w:line="240" w:lineRule="auto"/>
      </w:pPr>
      <w:r>
        <w:separator/>
      </w:r>
    </w:p>
  </w:endnote>
  <w:endnote w:type="continuationSeparator" w:id="0">
    <w:p w14:paraId="2012A404" w14:textId="77777777" w:rsidR="00F444C7" w:rsidRDefault="00F444C7" w:rsidP="00F4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37F45" w14:textId="2CFAC9B6" w:rsidR="00F444C7" w:rsidRDefault="00F444C7">
    <w:pPr>
      <w:pStyle w:val="Footer"/>
    </w:pPr>
    <w:r>
      <w:rPr>
        <w:noProof/>
      </w:rPr>
      <mc:AlternateContent>
        <mc:Choice Requires="wps">
          <w:drawing>
            <wp:anchor distT="0" distB="0" distL="0" distR="0" simplePos="0" relativeHeight="251659264" behindDoc="0" locked="0" layoutInCell="1" allowOverlap="1" wp14:anchorId="2C19100E" wp14:editId="2C8A019D">
              <wp:simplePos x="635" y="635"/>
              <wp:positionH relativeFrom="page">
                <wp:align>left</wp:align>
              </wp:positionH>
              <wp:positionV relativeFrom="page">
                <wp:align>bottom</wp:align>
              </wp:positionV>
              <wp:extent cx="2085975" cy="335280"/>
              <wp:effectExtent l="0" t="0" r="9525" b="0"/>
              <wp:wrapNone/>
              <wp:docPr id="280559197"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14DF3D1" w14:textId="168F55C5" w:rsidR="00F444C7" w:rsidRPr="00F444C7" w:rsidRDefault="00F444C7" w:rsidP="00F444C7">
                          <w:pPr>
                            <w:spacing w:after="0"/>
                            <w:rPr>
                              <w:rFonts w:ascii="Rockwell" w:eastAsia="Rockwell" w:hAnsi="Rockwell" w:cs="Rockwell"/>
                              <w:noProof/>
                              <w:color w:val="0078D7"/>
                              <w:sz w:val="18"/>
                              <w:szCs w:val="18"/>
                            </w:rPr>
                          </w:pPr>
                          <w:r w:rsidRPr="00F444C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19100E"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314DF3D1" w14:textId="168F55C5" w:rsidR="00F444C7" w:rsidRPr="00F444C7" w:rsidRDefault="00F444C7" w:rsidP="00F444C7">
                    <w:pPr>
                      <w:spacing w:after="0"/>
                      <w:rPr>
                        <w:rFonts w:ascii="Rockwell" w:eastAsia="Rockwell" w:hAnsi="Rockwell" w:cs="Rockwell"/>
                        <w:noProof/>
                        <w:color w:val="0078D7"/>
                        <w:sz w:val="18"/>
                        <w:szCs w:val="18"/>
                      </w:rPr>
                    </w:pPr>
                    <w:r w:rsidRPr="00F444C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F607" w14:textId="74D1ADAB" w:rsidR="00F444C7" w:rsidRDefault="00F444C7">
    <w:pPr>
      <w:pStyle w:val="Footer"/>
    </w:pPr>
    <w:r>
      <w:rPr>
        <w:noProof/>
      </w:rPr>
      <mc:AlternateContent>
        <mc:Choice Requires="wps">
          <w:drawing>
            <wp:anchor distT="0" distB="0" distL="0" distR="0" simplePos="0" relativeHeight="251660288" behindDoc="0" locked="0" layoutInCell="1" allowOverlap="1" wp14:anchorId="2B00762E" wp14:editId="6B994BC5">
              <wp:simplePos x="914400" y="10071100"/>
              <wp:positionH relativeFrom="page">
                <wp:align>left</wp:align>
              </wp:positionH>
              <wp:positionV relativeFrom="page">
                <wp:align>bottom</wp:align>
              </wp:positionV>
              <wp:extent cx="2085975" cy="335280"/>
              <wp:effectExtent l="0" t="0" r="9525" b="0"/>
              <wp:wrapNone/>
              <wp:docPr id="1971876803"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322B398" w14:textId="7550BB3D" w:rsidR="00F444C7" w:rsidRPr="00F444C7" w:rsidRDefault="00F444C7" w:rsidP="00F444C7">
                          <w:pPr>
                            <w:spacing w:after="0"/>
                            <w:rPr>
                              <w:rFonts w:ascii="Rockwell" w:eastAsia="Rockwell" w:hAnsi="Rockwell" w:cs="Rockwell"/>
                              <w:noProof/>
                              <w:color w:val="0078D7"/>
                              <w:sz w:val="18"/>
                              <w:szCs w:val="18"/>
                            </w:rPr>
                          </w:pPr>
                          <w:r w:rsidRPr="00F444C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00762E"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5322B398" w14:textId="7550BB3D" w:rsidR="00F444C7" w:rsidRPr="00F444C7" w:rsidRDefault="00F444C7" w:rsidP="00F444C7">
                    <w:pPr>
                      <w:spacing w:after="0"/>
                      <w:rPr>
                        <w:rFonts w:ascii="Rockwell" w:eastAsia="Rockwell" w:hAnsi="Rockwell" w:cs="Rockwell"/>
                        <w:noProof/>
                        <w:color w:val="0078D7"/>
                        <w:sz w:val="18"/>
                        <w:szCs w:val="18"/>
                      </w:rPr>
                    </w:pPr>
                    <w:r w:rsidRPr="00F444C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A859" w14:textId="110E612D" w:rsidR="00F444C7" w:rsidRDefault="00F444C7">
    <w:pPr>
      <w:pStyle w:val="Footer"/>
    </w:pPr>
    <w:r>
      <w:rPr>
        <w:noProof/>
      </w:rPr>
      <mc:AlternateContent>
        <mc:Choice Requires="wps">
          <w:drawing>
            <wp:anchor distT="0" distB="0" distL="0" distR="0" simplePos="0" relativeHeight="251658240" behindDoc="0" locked="0" layoutInCell="1" allowOverlap="1" wp14:anchorId="6FB2AD9F" wp14:editId="28AB83E1">
              <wp:simplePos x="635" y="635"/>
              <wp:positionH relativeFrom="page">
                <wp:align>left</wp:align>
              </wp:positionH>
              <wp:positionV relativeFrom="page">
                <wp:align>bottom</wp:align>
              </wp:positionV>
              <wp:extent cx="2085975" cy="335280"/>
              <wp:effectExtent l="0" t="0" r="9525" b="0"/>
              <wp:wrapNone/>
              <wp:docPr id="1305293552"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64693A37" w14:textId="33EB4BD7" w:rsidR="00F444C7" w:rsidRPr="00F444C7" w:rsidRDefault="00F444C7" w:rsidP="00F444C7">
                          <w:pPr>
                            <w:spacing w:after="0"/>
                            <w:rPr>
                              <w:rFonts w:ascii="Rockwell" w:eastAsia="Rockwell" w:hAnsi="Rockwell" w:cs="Rockwell"/>
                              <w:noProof/>
                              <w:color w:val="0078D7"/>
                              <w:sz w:val="18"/>
                              <w:szCs w:val="18"/>
                            </w:rPr>
                          </w:pPr>
                          <w:r w:rsidRPr="00F444C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B2AD9F"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64693A37" w14:textId="33EB4BD7" w:rsidR="00F444C7" w:rsidRPr="00F444C7" w:rsidRDefault="00F444C7" w:rsidP="00F444C7">
                    <w:pPr>
                      <w:spacing w:after="0"/>
                      <w:rPr>
                        <w:rFonts w:ascii="Rockwell" w:eastAsia="Rockwell" w:hAnsi="Rockwell" w:cs="Rockwell"/>
                        <w:noProof/>
                        <w:color w:val="0078D7"/>
                        <w:sz w:val="18"/>
                        <w:szCs w:val="18"/>
                      </w:rPr>
                    </w:pPr>
                    <w:r w:rsidRPr="00F444C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9B5DD" w14:textId="77777777" w:rsidR="00F444C7" w:rsidRDefault="00F444C7" w:rsidP="00F444C7">
      <w:pPr>
        <w:spacing w:after="0" w:line="240" w:lineRule="auto"/>
      </w:pPr>
      <w:r>
        <w:separator/>
      </w:r>
    </w:p>
  </w:footnote>
  <w:footnote w:type="continuationSeparator" w:id="0">
    <w:p w14:paraId="4005D4D7" w14:textId="77777777" w:rsidR="00F444C7" w:rsidRDefault="00F444C7" w:rsidP="00F44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D00B1"/>
    <w:multiLevelType w:val="multilevel"/>
    <w:tmpl w:val="71C4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73ABC"/>
    <w:multiLevelType w:val="multilevel"/>
    <w:tmpl w:val="0D969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5443488">
    <w:abstractNumId w:val="1"/>
    <w:lvlOverride w:ilvl="0"/>
    <w:lvlOverride w:ilvl="1"/>
    <w:lvlOverride w:ilvl="2"/>
    <w:lvlOverride w:ilvl="3"/>
    <w:lvlOverride w:ilvl="4"/>
    <w:lvlOverride w:ilvl="5"/>
    <w:lvlOverride w:ilvl="6"/>
    <w:lvlOverride w:ilvl="7"/>
    <w:lvlOverride w:ilvl="8"/>
  </w:num>
  <w:num w:numId="2" w16cid:durableId="179995686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BB"/>
    <w:rsid w:val="000E75E1"/>
    <w:rsid w:val="00543BBB"/>
    <w:rsid w:val="00596210"/>
    <w:rsid w:val="00623CD6"/>
    <w:rsid w:val="00F44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1C47"/>
  <w15:chartTrackingRefBased/>
  <w15:docId w15:val="{46CD6C93-81FA-4632-8C52-29409572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B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B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BBB"/>
    <w:rPr>
      <w:rFonts w:eastAsiaTheme="majorEastAsia" w:cstheme="majorBidi"/>
      <w:color w:val="272727" w:themeColor="text1" w:themeTint="D8"/>
    </w:rPr>
  </w:style>
  <w:style w:type="paragraph" w:styleId="Title">
    <w:name w:val="Title"/>
    <w:basedOn w:val="Normal"/>
    <w:next w:val="Normal"/>
    <w:link w:val="TitleChar"/>
    <w:uiPriority w:val="10"/>
    <w:qFormat/>
    <w:rsid w:val="00543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BBB"/>
    <w:pPr>
      <w:spacing w:before="160"/>
      <w:jc w:val="center"/>
    </w:pPr>
    <w:rPr>
      <w:i/>
      <w:iCs/>
      <w:color w:val="404040" w:themeColor="text1" w:themeTint="BF"/>
    </w:rPr>
  </w:style>
  <w:style w:type="character" w:customStyle="1" w:styleId="QuoteChar">
    <w:name w:val="Quote Char"/>
    <w:basedOn w:val="DefaultParagraphFont"/>
    <w:link w:val="Quote"/>
    <w:uiPriority w:val="29"/>
    <w:rsid w:val="00543BBB"/>
    <w:rPr>
      <w:i/>
      <w:iCs/>
      <w:color w:val="404040" w:themeColor="text1" w:themeTint="BF"/>
    </w:rPr>
  </w:style>
  <w:style w:type="paragraph" w:styleId="ListParagraph">
    <w:name w:val="List Paragraph"/>
    <w:basedOn w:val="Normal"/>
    <w:uiPriority w:val="34"/>
    <w:qFormat/>
    <w:rsid w:val="00543BBB"/>
    <w:pPr>
      <w:ind w:left="720"/>
      <w:contextualSpacing/>
    </w:pPr>
  </w:style>
  <w:style w:type="character" w:styleId="IntenseEmphasis">
    <w:name w:val="Intense Emphasis"/>
    <w:basedOn w:val="DefaultParagraphFont"/>
    <w:uiPriority w:val="21"/>
    <w:qFormat/>
    <w:rsid w:val="00543BBB"/>
    <w:rPr>
      <w:i/>
      <w:iCs/>
      <w:color w:val="0F4761" w:themeColor="accent1" w:themeShade="BF"/>
    </w:rPr>
  </w:style>
  <w:style w:type="paragraph" w:styleId="IntenseQuote">
    <w:name w:val="Intense Quote"/>
    <w:basedOn w:val="Normal"/>
    <w:next w:val="Normal"/>
    <w:link w:val="IntenseQuoteChar"/>
    <w:uiPriority w:val="30"/>
    <w:qFormat/>
    <w:rsid w:val="00543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BBB"/>
    <w:rPr>
      <w:i/>
      <w:iCs/>
      <w:color w:val="0F4761" w:themeColor="accent1" w:themeShade="BF"/>
    </w:rPr>
  </w:style>
  <w:style w:type="character" w:styleId="IntenseReference">
    <w:name w:val="Intense Reference"/>
    <w:basedOn w:val="DefaultParagraphFont"/>
    <w:uiPriority w:val="32"/>
    <w:qFormat/>
    <w:rsid w:val="00543BBB"/>
    <w:rPr>
      <w:b/>
      <w:bCs/>
      <w:smallCaps/>
      <w:color w:val="0F4761" w:themeColor="accent1" w:themeShade="BF"/>
      <w:spacing w:val="5"/>
    </w:rPr>
  </w:style>
  <w:style w:type="paragraph" w:styleId="Footer">
    <w:name w:val="footer"/>
    <w:basedOn w:val="Normal"/>
    <w:link w:val="FooterChar"/>
    <w:uiPriority w:val="99"/>
    <w:unhideWhenUsed/>
    <w:rsid w:val="00F44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362129">
      <w:bodyDiv w:val="1"/>
      <w:marLeft w:val="0"/>
      <w:marRight w:val="0"/>
      <w:marTop w:val="0"/>
      <w:marBottom w:val="0"/>
      <w:divBdr>
        <w:top w:val="none" w:sz="0" w:space="0" w:color="auto"/>
        <w:left w:val="none" w:sz="0" w:space="0" w:color="auto"/>
        <w:bottom w:val="none" w:sz="0" w:space="0" w:color="auto"/>
        <w:right w:val="none" w:sz="0" w:space="0" w:color="auto"/>
      </w:divBdr>
    </w:div>
    <w:div w:id="18884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Eden</dc:creator>
  <cp:keywords/>
  <dc:description/>
  <cp:lastModifiedBy>Turner, Eden</cp:lastModifiedBy>
  <cp:revision>1</cp:revision>
  <dcterms:created xsi:type="dcterms:W3CDTF">2025-08-05T12:57:00Z</dcterms:created>
  <dcterms:modified xsi:type="dcterms:W3CDTF">2025-08-05T13:24:00Z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4dcd32f0,10b8fe5d,758873c3</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2025-08-05T13:24:19Z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54e220fa-34bc-4503-95e0-8cdffe36b606</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ies>
</file>