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1F7B" w14:textId="77777777" w:rsidR="003A42D4" w:rsidRPr="003A42D4" w:rsidRDefault="003A42D4" w:rsidP="003A42D4">
      <w:r w:rsidRPr="003A42D4">
        <w:rPr>
          <w:b/>
          <w:bCs/>
        </w:rPr>
        <w:t>Subject:</w:t>
      </w:r>
      <w:r w:rsidRPr="003A42D4">
        <w:t> Strategic Opportunity: Attend BioProcess International 2025 to Accelerate Our Growth</w:t>
      </w:r>
    </w:p>
    <w:p w14:paraId="4955A812" w14:textId="77777777" w:rsidR="003A42D4" w:rsidRPr="003A42D4" w:rsidRDefault="003A42D4" w:rsidP="003A42D4">
      <w:r w:rsidRPr="003A42D4">
        <w:t>Dear [Boss’s Name],</w:t>
      </w:r>
    </w:p>
    <w:p w14:paraId="761D9413" w14:textId="77777777" w:rsidR="003A42D4" w:rsidRPr="003A42D4" w:rsidRDefault="003A42D4" w:rsidP="003A42D4">
      <w:r w:rsidRPr="003A42D4">
        <w:t>I’d like to recommend that we attend the </w:t>
      </w:r>
      <w:r w:rsidRPr="003A42D4">
        <w:rPr>
          <w:b/>
          <w:bCs/>
        </w:rPr>
        <w:t>BioProcess International Conference &amp; Exhibition</w:t>
      </w:r>
      <w:r w:rsidRPr="003A42D4">
        <w:t>, held </w:t>
      </w:r>
      <w:r w:rsidRPr="003A42D4">
        <w:rPr>
          <w:b/>
          <w:bCs/>
        </w:rPr>
        <w:t>September 15–18, 2025 in Boston</w:t>
      </w:r>
      <w:r w:rsidRPr="003A42D4">
        <w:t>. It’s the </w:t>
      </w:r>
      <w:r w:rsidRPr="003A42D4">
        <w:rPr>
          <w:b/>
          <w:bCs/>
        </w:rPr>
        <w:t>most comprehensive bioprocessing event in the industry</w:t>
      </w:r>
      <w:r w:rsidRPr="003A42D4">
        <w:t>, with 3,200+ attendees across biologics, cell and gene therapy, mRNA, and vaccine development—covering the full spectrum from discovery through commercialization.</w:t>
      </w:r>
    </w:p>
    <w:p w14:paraId="67C69F6D" w14:textId="77777777" w:rsidR="003A42D4" w:rsidRPr="003A42D4" w:rsidRDefault="003A42D4" w:rsidP="003A42D4">
      <w:r w:rsidRPr="003A42D4">
        <w:t>As an early-stage company, I believe this event offers outsized value in knowledge, partnerships, and visibility for minimal cost.</w:t>
      </w:r>
    </w:p>
    <w:p w14:paraId="49DF029F" w14:textId="77777777" w:rsidR="003A42D4" w:rsidRPr="003A42D4" w:rsidRDefault="003A42D4" w:rsidP="003A42D4">
      <w:r w:rsidRPr="003A42D4">
        <w:pict w14:anchorId="167AA523">
          <v:rect id="_x0000_i1055" style="width:468pt;height:1pt" o:hralign="center" o:hrstd="t" o:hr="t" fillcolor="#a0a0a0" stroked="f"/>
        </w:pict>
      </w:r>
    </w:p>
    <w:p w14:paraId="0B74686E" w14:textId="77777777" w:rsidR="003A42D4" w:rsidRPr="003A42D4" w:rsidRDefault="003A42D4" w:rsidP="003A42D4">
      <w:pPr>
        <w:rPr>
          <w:b/>
          <w:bCs/>
        </w:rPr>
      </w:pPr>
      <w:r w:rsidRPr="003A42D4">
        <w:rPr>
          <w:rFonts w:ascii="Segoe UI Emoji" w:hAnsi="Segoe UI Emoji" w:cs="Segoe UI Emoji"/>
          <w:b/>
          <w:bCs/>
        </w:rPr>
        <w:t>🧭</w:t>
      </w:r>
      <w:r w:rsidRPr="003A42D4">
        <w:rPr>
          <w:b/>
          <w:bCs/>
        </w:rPr>
        <w:t xml:space="preserve"> Why This Matters for a Startup Like Ours</w:t>
      </w:r>
    </w:p>
    <w:p w14:paraId="0BD6EF33" w14:textId="77777777" w:rsidR="003A42D4" w:rsidRPr="003A42D4" w:rsidRDefault="003A42D4" w:rsidP="003A42D4">
      <w:r w:rsidRPr="003A42D4">
        <w:rPr>
          <w:b/>
          <w:bCs/>
        </w:rPr>
        <w:t>1. Build the Right Foundation, Fast</w:t>
      </w:r>
      <w:r w:rsidRPr="003A42D4">
        <w:br/>
        <w:t>We’re making critical decisions around </w:t>
      </w:r>
      <w:r w:rsidRPr="003A42D4">
        <w:rPr>
          <w:b/>
          <w:bCs/>
        </w:rPr>
        <w:t>process development</w:t>
      </w:r>
      <w:r w:rsidRPr="003A42D4">
        <w:t>, </w:t>
      </w:r>
      <w:r w:rsidRPr="003A42D4">
        <w:rPr>
          <w:b/>
          <w:bCs/>
        </w:rPr>
        <w:t>CMC planning</w:t>
      </w:r>
      <w:r w:rsidRPr="003A42D4">
        <w:t>, and </w:t>
      </w:r>
      <w:r w:rsidRPr="003A42D4">
        <w:rPr>
          <w:b/>
          <w:bCs/>
        </w:rPr>
        <w:t>partner/vendor selection</w:t>
      </w:r>
      <w:r w:rsidRPr="003A42D4">
        <w:t>. BPI delivers technical content across upstream, downstream, analytical, regulatory, and scale-up challenges—all areas where informed choices now will save us time and money later.</w:t>
      </w:r>
    </w:p>
    <w:p w14:paraId="4FA32396" w14:textId="77777777" w:rsidR="003A42D4" w:rsidRPr="003A42D4" w:rsidRDefault="003A42D4" w:rsidP="003A42D4">
      <w:r w:rsidRPr="003A42D4">
        <w:rPr>
          <w:b/>
          <w:bCs/>
        </w:rPr>
        <w:t>2. Learn from Companies One Step Ahead</w:t>
      </w:r>
      <w:r w:rsidRPr="003A42D4">
        <w:br/>
        <w:t>BPI features detailed case studies from companies at Phase I–III, including how they approached cell line development, viral vector production, CQAs, and tech transfer. These examples are directly relevant to our near-term milestones.</w:t>
      </w:r>
    </w:p>
    <w:p w14:paraId="409903D7" w14:textId="77777777" w:rsidR="003A42D4" w:rsidRPr="003A42D4" w:rsidRDefault="003A42D4" w:rsidP="003A42D4">
      <w:r w:rsidRPr="003A42D4">
        <w:rPr>
          <w:b/>
          <w:bCs/>
        </w:rPr>
        <w:t>3. Identify the Right CDMOs and Technology Partners</w:t>
      </w:r>
      <w:r w:rsidRPr="003A42D4">
        <w:br/>
        <w:t>The exhibit hall hosts 250+ vendors, from CDMOs and CROs to equipment providers and digital platforms. We can vet potential partners in person, ask questions specific to our needs, and build relationships that could de-risk our outsourcing plans.</w:t>
      </w:r>
    </w:p>
    <w:p w14:paraId="49351A7C" w14:textId="77777777" w:rsidR="003A42D4" w:rsidRPr="003A42D4" w:rsidRDefault="003A42D4" w:rsidP="003A42D4">
      <w:r w:rsidRPr="003A42D4">
        <w:rPr>
          <w:b/>
          <w:bCs/>
        </w:rPr>
        <w:t>4. Stay Ahead of Regulatory and CMC Expectations</w:t>
      </w:r>
      <w:r w:rsidRPr="003A42D4">
        <w:br/>
        <w:t>As we plan for IND/CTA submissions, BPI provides expert guidance on CMC strategy, assay development, and global regulatory trends—crucial for avoiding costly missteps later.</w:t>
      </w:r>
    </w:p>
    <w:p w14:paraId="1545D68C" w14:textId="77777777" w:rsidR="003A42D4" w:rsidRPr="003A42D4" w:rsidRDefault="003A42D4" w:rsidP="003A42D4">
      <w:r w:rsidRPr="003A42D4">
        <w:rPr>
          <w:b/>
          <w:bCs/>
        </w:rPr>
        <w:t>5. Expand Our Network of Advisors, Collaborators &amp; Investors</w:t>
      </w:r>
      <w:r w:rsidRPr="003A42D4">
        <w:br/>
        <w:t>The BPI audience includes not only scientists and engineers but also BD, venture groups, incubator leads, and senior pharma execs. One well-placed conversation could unlock new resources, support, or even investment.</w:t>
      </w:r>
    </w:p>
    <w:p w14:paraId="334487FC" w14:textId="77777777" w:rsidR="003A42D4" w:rsidRPr="003A42D4" w:rsidRDefault="003A42D4" w:rsidP="003A42D4">
      <w:r w:rsidRPr="003A42D4">
        <w:pict w14:anchorId="7A1DE908">
          <v:rect id="_x0000_i1056" style="width:468pt;height:1pt" o:hralign="center" o:hrstd="t" o:hr="t" fillcolor="#a0a0a0" stroked="f"/>
        </w:pict>
      </w:r>
    </w:p>
    <w:p w14:paraId="6721A131" w14:textId="77777777" w:rsidR="003A42D4" w:rsidRPr="003A42D4" w:rsidRDefault="003A42D4" w:rsidP="003A42D4">
      <w:pPr>
        <w:rPr>
          <w:b/>
          <w:bCs/>
        </w:rPr>
      </w:pPr>
      <w:r w:rsidRPr="003A42D4">
        <w:rPr>
          <w:rFonts w:ascii="Segoe UI Emoji" w:hAnsi="Segoe UI Emoji" w:cs="Segoe UI Emoji"/>
          <w:b/>
          <w:bCs/>
        </w:rPr>
        <w:t>📥</w:t>
      </w:r>
      <w:r w:rsidRPr="003A42D4">
        <w:rPr>
          <w:b/>
          <w:bCs/>
        </w:rPr>
        <w:t xml:space="preserve"> Extended ROI: Access to Presentations After the Event</w:t>
      </w:r>
    </w:p>
    <w:p w14:paraId="1031BC0E" w14:textId="77777777" w:rsidR="003A42D4" w:rsidRPr="003A42D4" w:rsidRDefault="003A42D4" w:rsidP="003A42D4">
      <w:r w:rsidRPr="003A42D4">
        <w:t>Even if we can't attend every session in person, registration includes </w:t>
      </w:r>
      <w:r w:rsidRPr="003A42D4">
        <w:rPr>
          <w:b/>
          <w:bCs/>
        </w:rPr>
        <w:t>on-demand access to recorded talks and slides</w:t>
      </w:r>
      <w:r w:rsidRPr="003A42D4">
        <w:t>. This means:</w:t>
      </w:r>
    </w:p>
    <w:p w14:paraId="5F082419" w14:textId="77777777" w:rsidR="003A42D4" w:rsidRPr="003A42D4" w:rsidRDefault="003A42D4" w:rsidP="003A42D4">
      <w:pPr>
        <w:numPr>
          <w:ilvl w:val="0"/>
          <w:numId w:val="1"/>
        </w:numPr>
      </w:pPr>
      <w:r w:rsidRPr="003A42D4">
        <w:t>We can revisit technical content as we face similar issues in our development path</w:t>
      </w:r>
    </w:p>
    <w:p w14:paraId="671DD919" w14:textId="77777777" w:rsidR="003A42D4" w:rsidRPr="003A42D4" w:rsidRDefault="003A42D4" w:rsidP="003A42D4">
      <w:pPr>
        <w:numPr>
          <w:ilvl w:val="0"/>
          <w:numId w:val="1"/>
        </w:numPr>
      </w:pPr>
      <w:r w:rsidRPr="003A42D4">
        <w:t>We build a </w:t>
      </w:r>
      <w:r w:rsidRPr="003A42D4">
        <w:rPr>
          <w:b/>
          <w:bCs/>
        </w:rPr>
        <w:t>knowledge base</w:t>
      </w:r>
      <w:r w:rsidRPr="003A42D4">
        <w:t> that supports smarter decisions across our small team</w:t>
      </w:r>
    </w:p>
    <w:p w14:paraId="7F1E75A3" w14:textId="77777777" w:rsidR="003A42D4" w:rsidRPr="003A42D4" w:rsidRDefault="003A42D4" w:rsidP="003A42D4">
      <w:r w:rsidRPr="003A42D4">
        <w:t>This turns a few days of travel into </w:t>
      </w:r>
      <w:r w:rsidRPr="003A42D4">
        <w:rPr>
          <w:b/>
          <w:bCs/>
        </w:rPr>
        <w:t>a long-term strategic asset</w:t>
      </w:r>
      <w:r w:rsidRPr="003A42D4">
        <w:t>.</w:t>
      </w:r>
    </w:p>
    <w:p w14:paraId="4E93DB16" w14:textId="77777777" w:rsidR="003A42D4" w:rsidRPr="003A42D4" w:rsidRDefault="003A42D4" w:rsidP="003A42D4">
      <w:r w:rsidRPr="003A42D4">
        <w:pict w14:anchorId="6881D662">
          <v:rect id="_x0000_i1057" style="width:468pt;height:1pt" o:hralign="center" o:hrstd="t" o:hr="t" fillcolor="#a0a0a0" stroked="f"/>
        </w:pict>
      </w:r>
    </w:p>
    <w:p w14:paraId="1948B1FD" w14:textId="77777777" w:rsidR="003A42D4" w:rsidRPr="003A42D4" w:rsidRDefault="003A42D4" w:rsidP="003A42D4">
      <w:pPr>
        <w:rPr>
          <w:b/>
          <w:bCs/>
        </w:rPr>
      </w:pPr>
      <w:r w:rsidRPr="003A42D4">
        <w:rPr>
          <w:rFonts w:ascii="Segoe UI Emoji" w:hAnsi="Segoe UI Emoji" w:cs="Segoe UI Emoji"/>
          <w:b/>
          <w:bCs/>
        </w:rPr>
        <w:lastRenderedPageBreak/>
        <w:t>✅</w:t>
      </w:r>
      <w:r w:rsidRPr="003A42D4">
        <w:rPr>
          <w:b/>
          <w:bCs/>
        </w:rPr>
        <w:t xml:space="preserve"> Benefits to [Startup Name]</w:t>
      </w:r>
    </w:p>
    <w:tbl>
      <w:tblPr>
        <w:tblW w:w="0" w:type="auto"/>
        <w:tblCellSpacing w:w="15" w:type="dxa"/>
        <w:tblLook w:val="04A0" w:firstRow="1" w:lastRow="0" w:firstColumn="1" w:lastColumn="0" w:noHBand="0" w:noVBand="1"/>
      </w:tblPr>
      <w:tblGrid>
        <w:gridCol w:w="1969"/>
        <w:gridCol w:w="7057"/>
      </w:tblGrid>
      <w:tr w:rsidR="003A42D4" w:rsidRPr="003A42D4" w14:paraId="2C1A440F" w14:textId="77777777" w:rsidTr="003A42D4">
        <w:trPr>
          <w:tblHeader/>
          <w:tblCellSpacing w:w="15" w:type="dxa"/>
        </w:trPr>
        <w:tc>
          <w:tcPr>
            <w:tcW w:w="0" w:type="auto"/>
            <w:tcMar>
              <w:top w:w="15" w:type="dxa"/>
              <w:left w:w="15" w:type="dxa"/>
              <w:bottom w:w="15" w:type="dxa"/>
              <w:right w:w="15" w:type="dxa"/>
            </w:tcMar>
            <w:vAlign w:val="center"/>
            <w:hideMark/>
          </w:tcPr>
          <w:p w14:paraId="14E0E5F8" w14:textId="77777777" w:rsidR="003A42D4" w:rsidRPr="003A42D4" w:rsidRDefault="003A42D4" w:rsidP="003A42D4">
            <w:pPr>
              <w:rPr>
                <w:b/>
                <w:bCs/>
              </w:rPr>
            </w:pPr>
            <w:r w:rsidRPr="003A42D4">
              <w:rPr>
                <w:b/>
                <w:bCs/>
              </w:rPr>
              <w:t>Area</w:t>
            </w:r>
          </w:p>
        </w:tc>
        <w:tc>
          <w:tcPr>
            <w:tcW w:w="0" w:type="auto"/>
            <w:tcMar>
              <w:top w:w="15" w:type="dxa"/>
              <w:left w:w="15" w:type="dxa"/>
              <w:bottom w:w="15" w:type="dxa"/>
              <w:right w:w="15" w:type="dxa"/>
            </w:tcMar>
            <w:vAlign w:val="center"/>
            <w:hideMark/>
          </w:tcPr>
          <w:p w14:paraId="12E31145" w14:textId="77777777" w:rsidR="003A42D4" w:rsidRPr="003A42D4" w:rsidRDefault="003A42D4" w:rsidP="003A42D4">
            <w:pPr>
              <w:rPr>
                <w:b/>
                <w:bCs/>
              </w:rPr>
            </w:pPr>
            <w:r w:rsidRPr="003A42D4">
              <w:rPr>
                <w:b/>
                <w:bCs/>
              </w:rPr>
              <w:t>Outcome</w:t>
            </w:r>
          </w:p>
        </w:tc>
      </w:tr>
      <w:tr w:rsidR="003A42D4" w:rsidRPr="003A42D4" w14:paraId="206E3B2E" w14:textId="77777777" w:rsidTr="003A42D4">
        <w:trPr>
          <w:tblCellSpacing w:w="15" w:type="dxa"/>
        </w:trPr>
        <w:tc>
          <w:tcPr>
            <w:tcW w:w="0" w:type="auto"/>
            <w:tcMar>
              <w:top w:w="15" w:type="dxa"/>
              <w:left w:w="15" w:type="dxa"/>
              <w:bottom w:w="15" w:type="dxa"/>
              <w:right w:w="15" w:type="dxa"/>
            </w:tcMar>
            <w:vAlign w:val="center"/>
            <w:hideMark/>
          </w:tcPr>
          <w:p w14:paraId="06B1AB93" w14:textId="77777777" w:rsidR="003A42D4" w:rsidRPr="003A42D4" w:rsidRDefault="003A42D4" w:rsidP="003A42D4">
            <w:r w:rsidRPr="003A42D4">
              <w:rPr>
                <w:b/>
                <w:bCs/>
              </w:rPr>
              <w:t>Technical Strategy</w:t>
            </w:r>
          </w:p>
        </w:tc>
        <w:tc>
          <w:tcPr>
            <w:tcW w:w="0" w:type="auto"/>
            <w:tcMar>
              <w:top w:w="15" w:type="dxa"/>
              <w:left w:w="15" w:type="dxa"/>
              <w:bottom w:w="15" w:type="dxa"/>
              <w:right w:w="15" w:type="dxa"/>
            </w:tcMar>
            <w:vAlign w:val="center"/>
            <w:hideMark/>
          </w:tcPr>
          <w:p w14:paraId="690FDBC0" w14:textId="77777777" w:rsidR="003A42D4" w:rsidRPr="003A42D4" w:rsidRDefault="003A42D4" w:rsidP="003A42D4">
            <w:r w:rsidRPr="003A42D4">
              <w:t>Clarify best practices for early-stage process design, analytics, and regulatory readiness</w:t>
            </w:r>
          </w:p>
        </w:tc>
      </w:tr>
      <w:tr w:rsidR="003A42D4" w:rsidRPr="003A42D4" w14:paraId="3143BE9E" w14:textId="77777777" w:rsidTr="003A42D4">
        <w:trPr>
          <w:tblCellSpacing w:w="15" w:type="dxa"/>
        </w:trPr>
        <w:tc>
          <w:tcPr>
            <w:tcW w:w="0" w:type="auto"/>
            <w:tcMar>
              <w:top w:w="15" w:type="dxa"/>
              <w:left w:w="15" w:type="dxa"/>
              <w:bottom w:w="15" w:type="dxa"/>
              <w:right w:w="15" w:type="dxa"/>
            </w:tcMar>
            <w:vAlign w:val="center"/>
            <w:hideMark/>
          </w:tcPr>
          <w:p w14:paraId="3FE112CD" w14:textId="77777777" w:rsidR="003A42D4" w:rsidRPr="003A42D4" w:rsidRDefault="003A42D4" w:rsidP="003A42D4">
            <w:r w:rsidRPr="003A42D4">
              <w:rPr>
                <w:b/>
                <w:bCs/>
              </w:rPr>
              <w:t>Vendor Sourcing</w:t>
            </w:r>
          </w:p>
        </w:tc>
        <w:tc>
          <w:tcPr>
            <w:tcW w:w="0" w:type="auto"/>
            <w:tcMar>
              <w:top w:w="15" w:type="dxa"/>
              <w:left w:w="15" w:type="dxa"/>
              <w:bottom w:w="15" w:type="dxa"/>
              <w:right w:w="15" w:type="dxa"/>
            </w:tcMar>
            <w:vAlign w:val="center"/>
            <w:hideMark/>
          </w:tcPr>
          <w:p w14:paraId="389B1A11" w14:textId="77777777" w:rsidR="003A42D4" w:rsidRPr="003A42D4" w:rsidRDefault="003A42D4" w:rsidP="003A42D4">
            <w:r w:rsidRPr="003A42D4">
              <w:t>Identify and engage with CDMOs, assay developers, and equipment providers in one place</w:t>
            </w:r>
          </w:p>
        </w:tc>
      </w:tr>
      <w:tr w:rsidR="003A42D4" w:rsidRPr="003A42D4" w14:paraId="2A815EF1" w14:textId="77777777" w:rsidTr="003A42D4">
        <w:trPr>
          <w:tblCellSpacing w:w="15" w:type="dxa"/>
        </w:trPr>
        <w:tc>
          <w:tcPr>
            <w:tcW w:w="0" w:type="auto"/>
            <w:tcMar>
              <w:top w:w="15" w:type="dxa"/>
              <w:left w:w="15" w:type="dxa"/>
              <w:bottom w:w="15" w:type="dxa"/>
              <w:right w:w="15" w:type="dxa"/>
            </w:tcMar>
            <w:vAlign w:val="center"/>
            <w:hideMark/>
          </w:tcPr>
          <w:p w14:paraId="0EF46EF8" w14:textId="77777777" w:rsidR="003A42D4" w:rsidRPr="003A42D4" w:rsidRDefault="003A42D4" w:rsidP="003A42D4">
            <w:r w:rsidRPr="003A42D4">
              <w:rPr>
                <w:b/>
                <w:bCs/>
              </w:rPr>
              <w:t>Cost Avoidance</w:t>
            </w:r>
          </w:p>
        </w:tc>
        <w:tc>
          <w:tcPr>
            <w:tcW w:w="0" w:type="auto"/>
            <w:tcMar>
              <w:top w:w="15" w:type="dxa"/>
              <w:left w:w="15" w:type="dxa"/>
              <w:bottom w:w="15" w:type="dxa"/>
              <w:right w:w="15" w:type="dxa"/>
            </w:tcMar>
            <w:vAlign w:val="center"/>
            <w:hideMark/>
          </w:tcPr>
          <w:p w14:paraId="5251E314" w14:textId="77777777" w:rsidR="003A42D4" w:rsidRPr="003A42D4" w:rsidRDefault="003A42D4" w:rsidP="003A42D4">
            <w:r w:rsidRPr="003A42D4">
              <w:t>Learn what not to do—reducing trial and error as we scale</w:t>
            </w:r>
          </w:p>
        </w:tc>
      </w:tr>
      <w:tr w:rsidR="003A42D4" w:rsidRPr="003A42D4" w14:paraId="088FEC47" w14:textId="77777777" w:rsidTr="003A42D4">
        <w:trPr>
          <w:tblCellSpacing w:w="15" w:type="dxa"/>
        </w:trPr>
        <w:tc>
          <w:tcPr>
            <w:tcW w:w="0" w:type="auto"/>
            <w:tcMar>
              <w:top w:w="15" w:type="dxa"/>
              <w:left w:w="15" w:type="dxa"/>
              <w:bottom w:w="15" w:type="dxa"/>
              <w:right w:w="15" w:type="dxa"/>
            </w:tcMar>
            <w:vAlign w:val="center"/>
            <w:hideMark/>
          </w:tcPr>
          <w:p w14:paraId="402413E0" w14:textId="77777777" w:rsidR="003A42D4" w:rsidRPr="003A42D4" w:rsidRDefault="003A42D4" w:rsidP="003A42D4">
            <w:r w:rsidRPr="003A42D4">
              <w:rPr>
                <w:b/>
                <w:bCs/>
              </w:rPr>
              <w:t>Team Growth</w:t>
            </w:r>
          </w:p>
        </w:tc>
        <w:tc>
          <w:tcPr>
            <w:tcW w:w="0" w:type="auto"/>
            <w:tcMar>
              <w:top w:w="15" w:type="dxa"/>
              <w:left w:w="15" w:type="dxa"/>
              <w:bottom w:w="15" w:type="dxa"/>
              <w:right w:w="15" w:type="dxa"/>
            </w:tcMar>
            <w:vAlign w:val="center"/>
            <w:hideMark/>
          </w:tcPr>
          <w:p w14:paraId="431B476D" w14:textId="77777777" w:rsidR="003A42D4" w:rsidRPr="003A42D4" w:rsidRDefault="003A42D4" w:rsidP="003A42D4">
            <w:r w:rsidRPr="003A42D4">
              <w:t>Gain hands-on exposure to tools, case studies, and peer companies moving through similar stages</w:t>
            </w:r>
          </w:p>
        </w:tc>
      </w:tr>
      <w:tr w:rsidR="003A42D4" w:rsidRPr="003A42D4" w14:paraId="379D6977" w14:textId="77777777" w:rsidTr="003A42D4">
        <w:trPr>
          <w:tblCellSpacing w:w="15" w:type="dxa"/>
        </w:trPr>
        <w:tc>
          <w:tcPr>
            <w:tcW w:w="0" w:type="auto"/>
            <w:tcMar>
              <w:top w:w="15" w:type="dxa"/>
              <w:left w:w="15" w:type="dxa"/>
              <w:bottom w:w="15" w:type="dxa"/>
              <w:right w:w="15" w:type="dxa"/>
            </w:tcMar>
            <w:vAlign w:val="center"/>
            <w:hideMark/>
          </w:tcPr>
          <w:p w14:paraId="146824CE" w14:textId="77777777" w:rsidR="003A42D4" w:rsidRPr="003A42D4" w:rsidRDefault="003A42D4" w:rsidP="003A42D4">
            <w:r w:rsidRPr="003A42D4">
              <w:rPr>
                <w:b/>
                <w:bCs/>
              </w:rPr>
              <w:t>Visibility &amp; Reputation</w:t>
            </w:r>
          </w:p>
        </w:tc>
        <w:tc>
          <w:tcPr>
            <w:tcW w:w="0" w:type="auto"/>
            <w:tcMar>
              <w:top w:w="15" w:type="dxa"/>
              <w:left w:w="15" w:type="dxa"/>
              <w:bottom w:w="15" w:type="dxa"/>
              <w:right w:w="15" w:type="dxa"/>
            </w:tcMar>
            <w:vAlign w:val="center"/>
            <w:hideMark/>
          </w:tcPr>
          <w:p w14:paraId="7A58B179" w14:textId="77777777" w:rsidR="003A42D4" w:rsidRPr="003A42D4" w:rsidRDefault="003A42D4" w:rsidP="003A42D4">
            <w:r w:rsidRPr="003A42D4">
              <w:t>Put our name in front of potential collaborators and advisors as a serious, informed startup</w:t>
            </w:r>
          </w:p>
        </w:tc>
      </w:tr>
    </w:tbl>
    <w:p w14:paraId="2CE3D379" w14:textId="77777777" w:rsidR="003A42D4" w:rsidRPr="003A42D4" w:rsidRDefault="003A42D4" w:rsidP="003A42D4">
      <w:r w:rsidRPr="003A42D4">
        <w:pict w14:anchorId="580A5ED1">
          <v:rect id="_x0000_i1058" style="width:468pt;height:1pt" o:hralign="center" o:hrstd="t" o:hr="t" fillcolor="#a0a0a0" stroked="f"/>
        </w:pict>
      </w:r>
    </w:p>
    <w:p w14:paraId="3B34893F" w14:textId="77777777" w:rsidR="003A42D4" w:rsidRPr="003A42D4" w:rsidRDefault="003A42D4" w:rsidP="003A42D4">
      <w:pPr>
        <w:rPr>
          <w:b/>
          <w:bCs/>
        </w:rPr>
      </w:pPr>
      <w:r w:rsidRPr="003A42D4">
        <w:rPr>
          <w:rFonts w:ascii="Segoe UI Emoji" w:hAnsi="Segoe UI Emoji" w:cs="Segoe UI Emoji"/>
          <w:b/>
          <w:bCs/>
        </w:rPr>
        <w:t>💰</w:t>
      </w:r>
      <w:r w:rsidRPr="003A42D4">
        <w:rPr>
          <w:b/>
          <w:bCs/>
        </w:rPr>
        <w:t xml:space="preserve"> Estimated Cost Overview</w:t>
      </w:r>
    </w:p>
    <w:tbl>
      <w:tblPr>
        <w:tblW w:w="0" w:type="auto"/>
        <w:tblCellSpacing w:w="15" w:type="dxa"/>
        <w:tblLook w:val="04A0" w:firstRow="1" w:lastRow="0" w:firstColumn="1" w:lastColumn="0" w:noHBand="0" w:noVBand="1"/>
      </w:tblPr>
      <w:tblGrid>
        <w:gridCol w:w="2168"/>
        <w:gridCol w:w="6858"/>
      </w:tblGrid>
      <w:tr w:rsidR="003A42D4" w:rsidRPr="003A42D4" w14:paraId="76E0F470" w14:textId="77777777" w:rsidTr="003A42D4">
        <w:trPr>
          <w:tblHeader/>
          <w:tblCellSpacing w:w="15" w:type="dxa"/>
        </w:trPr>
        <w:tc>
          <w:tcPr>
            <w:tcW w:w="0" w:type="auto"/>
            <w:tcMar>
              <w:top w:w="15" w:type="dxa"/>
              <w:left w:w="15" w:type="dxa"/>
              <w:bottom w:w="15" w:type="dxa"/>
              <w:right w:w="15" w:type="dxa"/>
            </w:tcMar>
            <w:vAlign w:val="center"/>
            <w:hideMark/>
          </w:tcPr>
          <w:p w14:paraId="698209E1" w14:textId="77777777" w:rsidR="003A42D4" w:rsidRPr="003A42D4" w:rsidRDefault="003A42D4" w:rsidP="003A42D4">
            <w:pPr>
              <w:rPr>
                <w:b/>
                <w:bCs/>
              </w:rPr>
            </w:pPr>
            <w:r w:rsidRPr="003A42D4">
              <w:rPr>
                <w:b/>
                <w:bCs/>
              </w:rPr>
              <w:t>Item</w:t>
            </w:r>
          </w:p>
        </w:tc>
        <w:tc>
          <w:tcPr>
            <w:tcW w:w="0" w:type="auto"/>
            <w:tcMar>
              <w:top w:w="15" w:type="dxa"/>
              <w:left w:w="15" w:type="dxa"/>
              <w:bottom w:w="15" w:type="dxa"/>
              <w:right w:w="15" w:type="dxa"/>
            </w:tcMar>
            <w:vAlign w:val="center"/>
            <w:hideMark/>
          </w:tcPr>
          <w:p w14:paraId="3CC1EE55" w14:textId="77777777" w:rsidR="003A42D4" w:rsidRPr="003A42D4" w:rsidRDefault="003A42D4" w:rsidP="003A42D4">
            <w:pPr>
              <w:rPr>
                <w:b/>
                <w:bCs/>
              </w:rPr>
            </w:pPr>
            <w:r w:rsidRPr="003A42D4">
              <w:rPr>
                <w:b/>
                <w:bCs/>
              </w:rPr>
              <w:t>Estimate</w:t>
            </w:r>
          </w:p>
        </w:tc>
      </w:tr>
      <w:tr w:rsidR="003A42D4" w:rsidRPr="003A42D4" w14:paraId="699A793D" w14:textId="77777777" w:rsidTr="003A42D4">
        <w:trPr>
          <w:tblCellSpacing w:w="15" w:type="dxa"/>
        </w:trPr>
        <w:tc>
          <w:tcPr>
            <w:tcW w:w="0" w:type="auto"/>
            <w:tcMar>
              <w:top w:w="15" w:type="dxa"/>
              <w:left w:w="15" w:type="dxa"/>
              <w:bottom w:w="15" w:type="dxa"/>
              <w:right w:w="15" w:type="dxa"/>
            </w:tcMar>
            <w:vAlign w:val="center"/>
            <w:hideMark/>
          </w:tcPr>
          <w:p w14:paraId="2F0E6A6B" w14:textId="77777777" w:rsidR="003A42D4" w:rsidRPr="003A42D4" w:rsidRDefault="003A42D4" w:rsidP="003A42D4">
            <w:r w:rsidRPr="003A42D4">
              <w:rPr>
                <w:b/>
                <w:bCs/>
              </w:rPr>
              <w:t>Early Bird Registration</w:t>
            </w:r>
          </w:p>
        </w:tc>
        <w:tc>
          <w:tcPr>
            <w:tcW w:w="0" w:type="auto"/>
            <w:tcMar>
              <w:top w:w="15" w:type="dxa"/>
              <w:left w:w="15" w:type="dxa"/>
              <w:bottom w:w="15" w:type="dxa"/>
              <w:right w:w="15" w:type="dxa"/>
            </w:tcMar>
            <w:vAlign w:val="center"/>
            <w:hideMark/>
          </w:tcPr>
          <w:p w14:paraId="57155CEB" w14:textId="317ED6D3" w:rsidR="003A42D4" w:rsidRPr="003A42D4" w:rsidRDefault="003A42D4" w:rsidP="003A42D4">
            <w:r w:rsidRPr="003A42D4">
              <w:t>~$1,8</w:t>
            </w:r>
            <w:r>
              <w:t xml:space="preserve">99 </w:t>
            </w:r>
            <w:r w:rsidRPr="003A42D4">
              <w:t>per person (discounts available for biotech/startups)</w:t>
            </w:r>
          </w:p>
        </w:tc>
      </w:tr>
      <w:tr w:rsidR="003A42D4" w:rsidRPr="003A42D4" w14:paraId="24B942E9" w14:textId="77777777" w:rsidTr="003A42D4">
        <w:trPr>
          <w:tblCellSpacing w:w="15" w:type="dxa"/>
        </w:trPr>
        <w:tc>
          <w:tcPr>
            <w:tcW w:w="0" w:type="auto"/>
            <w:tcMar>
              <w:top w:w="15" w:type="dxa"/>
              <w:left w:w="15" w:type="dxa"/>
              <w:bottom w:w="15" w:type="dxa"/>
              <w:right w:w="15" w:type="dxa"/>
            </w:tcMar>
            <w:vAlign w:val="center"/>
            <w:hideMark/>
          </w:tcPr>
          <w:p w14:paraId="6629F924" w14:textId="77777777" w:rsidR="003A42D4" w:rsidRPr="003A42D4" w:rsidRDefault="003A42D4" w:rsidP="003A42D4">
            <w:r w:rsidRPr="003A42D4">
              <w:rPr>
                <w:b/>
                <w:bCs/>
              </w:rPr>
              <w:t>Travel &amp; Hotel (4 days)</w:t>
            </w:r>
          </w:p>
        </w:tc>
        <w:tc>
          <w:tcPr>
            <w:tcW w:w="0" w:type="auto"/>
            <w:tcMar>
              <w:top w:w="15" w:type="dxa"/>
              <w:left w:w="15" w:type="dxa"/>
              <w:bottom w:w="15" w:type="dxa"/>
              <w:right w:w="15" w:type="dxa"/>
            </w:tcMar>
            <w:vAlign w:val="center"/>
            <w:hideMark/>
          </w:tcPr>
          <w:p w14:paraId="7347CE10" w14:textId="2EA9527C" w:rsidR="003A42D4" w:rsidRPr="003A42D4" w:rsidRDefault="003A42D4" w:rsidP="003A42D4">
            <w:r>
              <w:t>Boston, 3-4 Days Hotel</w:t>
            </w:r>
          </w:p>
        </w:tc>
      </w:tr>
      <w:tr w:rsidR="003A42D4" w:rsidRPr="003A42D4" w14:paraId="09ADC460" w14:textId="77777777" w:rsidTr="003A42D4">
        <w:trPr>
          <w:tblCellSpacing w:w="15" w:type="dxa"/>
        </w:trPr>
        <w:tc>
          <w:tcPr>
            <w:tcW w:w="0" w:type="auto"/>
            <w:tcMar>
              <w:top w:w="15" w:type="dxa"/>
              <w:left w:w="15" w:type="dxa"/>
              <w:bottom w:w="15" w:type="dxa"/>
              <w:right w:w="15" w:type="dxa"/>
            </w:tcMar>
            <w:vAlign w:val="center"/>
            <w:hideMark/>
          </w:tcPr>
          <w:p w14:paraId="7248AB4D" w14:textId="77777777" w:rsidR="003A42D4" w:rsidRPr="003A42D4" w:rsidRDefault="003A42D4" w:rsidP="003A42D4">
            <w:r w:rsidRPr="003A42D4">
              <w:rPr>
                <w:b/>
                <w:bCs/>
              </w:rPr>
              <w:t>Post-Event ROI</w:t>
            </w:r>
          </w:p>
        </w:tc>
        <w:tc>
          <w:tcPr>
            <w:tcW w:w="0" w:type="auto"/>
            <w:tcMar>
              <w:top w:w="15" w:type="dxa"/>
              <w:left w:w="15" w:type="dxa"/>
              <w:bottom w:w="15" w:type="dxa"/>
              <w:right w:w="15" w:type="dxa"/>
            </w:tcMar>
            <w:vAlign w:val="center"/>
            <w:hideMark/>
          </w:tcPr>
          <w:p w14:paraId="68E08DD3" w14:textId="77777777" w:rsidR="003A42D4" w:rsidRPr="003A42D4" w:rsidRDefault="003A42D4" w:rsidP="003A42D4">
            <w:r w:rsidRPr="003A42D4">
              <w:t>Includes full access to content + leads from 1:1 meetings and vendor discovery</w:t>
            </w:r>
          </w:p>
        </w:tc>
      </w:tr>
    </w:tbl>
    <w:p w14:paraId="1B912B41" w14:textId="77777777" w:rsidR="003A42D4" w:rsidRPr="003A42D4" w:rsidRDefault="003A42D4" w:rsidP="003A42D4">
      <w:r w:rsidRPr="003A42D4">
        <w:pict w14:anchorId="20E46360">
          <v:rect id="_x0000_i1059" style="width:468pt;height:1pt" o:hralign="center" o:hrstd="t" o:hr="t" fillcolor="#a0a0a0" stroked="f"/>
        </w:pict>
      </w:r>
    </w:p>
    <w:p w14:paraId="2B351629" w14:textId="77777777" w:rsidR="003A42D4" w:rsidRPr="003A42D4" w:rsidRDefault="003A42D4" w:rsidP="003A42D4">
      <w:pPr>
        <w:rPr>
          <w:b/>
          <w:bCs/>
        </w:rPr>
      </w:pPr>
      <w:r w:rsidRPr="003A42D4">
        <w:rPr>
          <w:rFonts w:ascii="Segoe UI Emoji" w:hAnsi="Segoe UI Emoji" w:cs="Segoe UI Emoji"/>
          <w:b/>
          <w:bCs/>
        </w:rPr>
        <w:t>🚀</w:t>
      </w:r>
      <w:r w:rsidRPr="003A42D4">
        <w:rPr>
          <w:b/>
          <w:bCs/>
        </w:rPr>
        <w:t xml:space="preserve"> Why Now?</w:t>
      </w:r>
    </w:p>
    <w:p w14:paraId="2E9FE98E" w14:textId="77777777" w:rsidR="003A42D4" w:rsidRPr="003A42D4" w:rsidRDefault="003A42D4" w:rsidP="003A42D4">
      <w:r w:rsidRPr="003A42D4">
        <w:t>We're at a phase where </w:t>
      </w:r>
      <w:r w:rsidRPr="003A42D4">
        <w:rPr>
          <w:b/>
          <w:bCs/>
        </w:rPr>
        <w:t>every connection, every insight, and every avoided mistake</w:t>
      </w:r>
      <w:r w:rsidRPr="003A42D4">
        <w:t> counts. BioProcess International offers a cost-effective, content-rich environment where we can learn from the best, meet future partners, and gain the tools to accelerate our path to clinic and commercialization.</w:t>
      </w:r>
    </w:p>
    <w:p w14:paraId="47CFAB13" w14:textId="77777777" w:rsidR="003A42D4" w:rsidRPr="003A42D4" w:rsidRDefault="003A42D4" w:rsidP="003A42D4">
      <w:r w:rsidRPr="003A42D4">
        <w:t>I’d be happy to outline a post-event plan to share key takeaways with the rest of the team. Thank you for considering this opportunity—I believe the long-term return will far outweigh the short-term cost.</w:t>
      </w:r>
    </w:p>
    <w:p w14:paraId="04E2E47A" w14:textId="77777777" w:rsidR="003A42D4" w:rsidRPr="003A42D4" w:rsidRDefault="003A42D4" w:rsidP="003A42D4">
      <w:r w:rsidRPr="003A42D4">
        <w:t>Best regards,</w:t>
      </w:r>
      <w:r w:rsidRPr="003A42D4">
        <w:br/>
        <w:t>[Your Name]</w:t>
      </w:r>
      <w:r w:rsidRPr="003A42D4">
        <w:br/>
        <w:t>[Your Title]</w:t>
      </w:r>
    </w:p>
    <w:p w14:paraId="7C5F3227" w14:textId="77777777" w:rsidR="00623CD6" w:rsidRDefault="00623CD6"/>
    <w:sectPr w:rsidR="00623C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64F95" w14:textId="77777777" w:rsidR="003A42D4" w:rsidRDefault="003A42D4" w:rsidP="003A42D4">
      <w:pPr>
        <w:spacing w:after="0" w:line="240" w:lineRule="auto"/>
      </w:pPr>
      <w:r>
        <w:separator/>
      </w:r>
    </w:p>
  </w:endnote>
  <w:endnote w:type="continuationSeparator" w:id="0">
    <w:p w14:paraId="4EFF3925" w14:textId="77777777" w:rsidR="003A42D4" w:rsidRDefault="003A42D4" w:rsidP="003A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A5E6" w14:textId="19C0F017" w:rsidR="003A42D4" w:rsidRDefault="003A42D4">
    <w:pPr>
      <w:pStyle w:val="Footer"/>
    </w:pPr>
    <w:r>
      <w:rPr>
        <w:noProof/>
      </w:rPr>
      <mc:AlternateContent>
        <mc:Choice Requires="wps">
          <w:drawing>
            <wp:anchor distT="0" distB="0" distL="0" distR="0" simplePos="0" relativeHeight="251659264" behindDoc="0" locked="0" layoutInCell="1" allowOverlap="1" wp14:anchorId="19C77275" wp14:editId="541EFEDB">
              <wp:simplePos x="635" y="635"/>
              <wp:positionH relativeFrom="page">
                <wp:align>left</wp:align>
              </wp:positionH>
              <wp:positionV relativeFrom="page">
                <wp:align>bottom</wp:align>
              </wp:positionV>
              <wp:extent cx="2085975" cy="335280"/>
              <wp:effectExtent l="0" t="0" r="9525" b="0"/>
              <wp:wrapNone/>
              <wp:docPr id="247968779"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88EFE38" w14:textId="60BB73B2" w:rsidR="003A42D4" w:rsidRPr="003A42D4" w:rsidRDefault="003A42D4" w:rsidP="003A42D4">
                          <w:pPr>
                            <w:spacing w:after="0"/>
                            <w:rPr>
                              <w:rFonts w:ascii="Rockwell" w:eastAsia="Rockwell" w:hAnsi="Rockwell" w:cs="Rockwell"/>
                              <w:noProof/>
                              <w:color w:val="0078D7"/>
                              <w:sz w:val="18"/>
                              <w:szCs w:val="18"/>
                            </w:rPr>
                          </w:pPr>
                          <w:r w:rsidRPr="003A42D4">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C77275"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388EFE38" w14:textId="60BB73B2" w:rsidR="003A42D4" w:rsidRPr="003A42D4" w:rsidRDefault="003A42D4" w:rsidP="003A42D4">
                    <w:pPr>
                      <w:spacing w:after="0"/>
                      <w:rPr>
                        <w:rFonts w:ascii="Rockwell" w:eastAsia="Rockwell" w:hAnsi="Rockwell" w:cs="Rockwell"/>
                        <w:noProof/>
                        <w:color w:val="0078D7"/>
                        <w:sz w:val="18"/>
                        <w:szCs w:val="18"/>
                      </w:rPr>
                    </w:pPr>
                    <w:r w:rsidRPr="003A42D4">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60C7A" w14:textId="31021276" w:rsidR="003A42D4" w:rsidRDefault="003A42D4">
    <w:pPr>
      <w:pStyle w:val="Footer"/>
    </w:pPr>
    <w:r>
      <w:rPr>
        <w:noProof/>
      </w:rPr>
      <mc:AlternateContent>
        <mc:Choice Requires="wps">
          <w:drawing>
            <wp:anchor distT="0" distB="0" distL="0" distR="0" simplePos="0" relativeHeight="251660288" behindDoc="0" locked="0" layoutInCell="1" allowOverlap="1" wp14:anchorId="378B0F09" wp14:editId="6A31B99B">
              <wp:simplePos x="914400" y="10071100"/>
              <wp:positionH relativeFrom="page">
                <wp:align>left</wp:align>
              </wp:positionH>
              <wp:positionV relativeFrom="page">
                <wp:align>bottom</wp:align>
              </wp:positionV>
              <wp:extent cx="2085975" cy="335280"/>
              <wp:effectExtent l="0" t="0" r="9525" b="0"/>
              <wp:wrapNone/>
              <wp:docPr id="852724641"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815A733" w14:textId="51BC2E63" w:rsidR="003A42D4" w:rsidRPr="003A42D4" w:rsidRDefault="003A42D4" w:rsidP="003A42D4">
                          <w:pPr>
                            <w:spacing w:after="0"/>
                            <w:rPr>
                              <w:rFonts w:ascii="Rockwell" w:eastAsia="Rockwell" w:hAnsi="Rockwell" w:cs="Rockwell"/>
                              <w:noProof/>
                              <w:color w:val="0078D7"/>
                              <w:sz w:val="18"/>
                              <w:szCs w:val="18"/>
                            </w:rPr>
                          </w:pPr>
                          <w:r w:rsidRPr="003A42D4">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8B0F09"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5815A733" w14:textId="51BC2E63" w:rsidR="003A42D4" w:rsidRPr="003A42D4" w:rsidRDefault="003A42D4" w:rsidP="003A42D4">
                    <w:pPr>
                      <w:spacing w:after="0"/>
                      <w:rPr>
                        <w:rFonts w:ascii="Rockwell" w:eastAsia="Rockwell" w:hAnsi="Rockwell" w:cs="Rockwell"/>
                        <w:noProof/>
                        <w:color w:val="0078D7"/>
                        <w:sz w:val="18"/>
                        <w:szCs w:val="18"/>
                      </w:rPr>
                    </w:pPr>
                    <w:r w:rsidRPr="003A42D4">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C96F" w14:textId="73E690D4" w:rsidR="003A42D4" w:rsidRDefault="003A42D4">
    <w:pPr>
      <w:pStyle w:val="Footer"/>
    </w:pPr>
    <w:r>
      <w:rPr>
        <w:noProof/>
      </w:rPr>
      <mc:AlternateContent>
        <mc:Choice Requires="wps">
          <w:drawing>
            <wp:anchor distT="0" distB="0" distL="0" distR="0" simplePos="0" relativeHeight="251658240" behindDoc="0" locked="0" layoutInCell="1" allowOverlap="1" wp14:anchorId="6F4F11FE" wp14:editId="3C80698B">
              <wp:simplePos x="635" y="635"/>
              <wp:positionH relativeFrom="page">
                <wp:align>left</wp:align>
              </wp:positionH>
              <wp:positionV relativeFrom="page">
                <wp:align>bottom</wp:align>
              </wp:positionV>
              <wp:extent cx="2085975" cy="335280"/>
              <wp:effectExtent l="0" t="0" r="9525" b="0"/>
              <wp:wrapNone/>
              <wp:docPr id="987099206"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AA5CCD8" w14:textId="25B06671" w:rsidR="003A42D4" w:rsidRPr="003A42D4" w:rsidRDefault="003A42D4" w:rsidP="003A42D4">
                          <w:pPr>
                            <w:spacing w:after="0"/>
                            <w:rPr>
                              <w:rFonts w:ascii="Rockwell" w:eastAsia="Rockwell" w:hAnsi="Rockwell" w:cs="Rockwell"/>
                              <w:noProof/>
                              <w:color w:val="0078D7"/>
                              <w:sz w:val="18"/>
                              <w:szCs w:val="18"/>
                            </w:rPr>
                          </w:pPr>
                          <w:r w:rsidRPr="003A42D4">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4F11FE"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5AA5CCD8" w14:textId="25B06671" w:rsidR="003A42D4" w:rsidRPr="003A42D4" w:rsidRDefault="003A42D4" w:rsidP="003A42D4">
                    <w:pPr>
                      <w:spacing w:after="0"/>
                      <w:rPr>
                        <w:rFonts w:ascii="Rockwell" w:eastAsia="Rockwell" w:hAnsi="Rockwell" w:cs="Rockwell"/>
                        <w:noProof/>
                        <w:color w:val="0078D7"/>
                        <w:sz w:val="18"/>
                        <w:szCs w:val="18"/>
                      </w:rPr>
                    </w:pPr>
                    <w:r w:rsidRPr="003A42D4">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4006" w14:textId="77777777" w:rsidR="003A42D4" w:rsidRDefault="003A42D4" w:rsidP="003A42D4">
      <w:pPr>
        <w:spacing w:after="0" w:line="240" w:lineRule="auto"/>
      </w:pPr>
      <w:r>
        <w:separator/>
      </w:r>
    </w:p>
  </w:footnote>
  <w:footnote w:type="continuationSeparator" w:id="0">
    <w:p w14:paraId="52233994" w14:textId="77777777" w:rsidR="003A42D4" w:rsidRDefault="003A42D4" w:rsidP="003A4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F2975"/>
    <w:multiLevelType w:val="multilevel"/>
    <w:tmpl w:val="557C0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21739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D4"/>
    <w:rsid w:val="000E75E1"/>
    <w:rsid w:val="003A42D4"/>
    <w:rsid w:val="00596210"/>
    <w:rsid w:val="00623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8BEB"/>
  <w15:chartTrackingRefBased/>
  <w15:docId w15:val="{EA08BF14-9D85-4C7F-8703-62F9BC7D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2D4"/>
    <w:rPr>
      <w:rFonts w:eastAsiaTheme="majorEastAsia" w:cstheme="majorBidi"/>
      <w:color w:val="272727" w:themeColor="text1" w:themeTint="D8"/>
    </w:rPr>
  </w:style>
  <w:style w:type="paragraph" w:styleId="Title">
    <w:name w:val="Title"/>
    <w:basedOn w:val="Normal"/>
    <w:next w:val="Normal"/>
    <w:link w:val="TitleChar"/>
    <w:uiPriority w:val="10"/>
    <w:qFormat/>
    <w:rsid w:val="003A4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2D4"/>
    <w:pPr>
      <w:spacing w:before="160"/>
      <w:jc w:val="center"/>
    </w:pPr>
    <w:rPr>
      <w:i/>
      <w:iCs/>
      <w:color w:val="404040" w:themeColor="text1" w:themeTint="BF"/>
    </w:rPr>
  </w:style>
  <w:style w:type="character" w:customStyle="1" w:styleId="QuoteChar">
    <w:name w:val="Quote Char"/>
    <w:basedOn w:val="DefaultParagraphFont"/>
    <w:link w:val="Quote"/>
    <w:uiPriority w:val="29"/>
    <w:rsid w:val="003A42D4"/>
    <w:rPr>
      <w:i/>
      <w:iCs/>
      <w:color w:val="404040" w:themeColor="text1" w:themeTint="BF"/>
    </w:rPr>
  </w:style>
  <w:style w:type="paragraph" w:styleId="ListParagraph">
    <w:name w:val="List Paragraph"/>
    <w:basedOn w:val="Normal"/>
    <w:uiPriority w:val="34"/>
    <w:qFormat/>
    <w:rsid w:val="003A42D4"/>
    <w:pPr>
      <w:ind w:left="720"/>
      <w:contextualSpacing/>
    </w:pPr>
  </w:style>
  <w:style w:type="character" w:styleId="IntenseEmphasis">
    <w:name w:val="Intense Emphasis"/>
    <w:basedOn w:val="DefaultParagraphFont"/>
    <w:uiPriority w:val="21"/>
    <w:qFormat/>
    <w:rsid w:val="003A42D4"/>
    <w:rPr>
      <w:i/>
      <w:iCs/>
      <w:color w:val="0F4761" w:themeColor="accent1" w:themeShade="BF"/>
    </w:rPr>
  </w:style>
  <w:style w:type="paragraph" w:styleId="IntenseQuote">
    <w:name w:val="Intense Quote"/>
    <w:basedOn w:val="Normal"/>
    <w:next w:val="Normal"/>
    <w:link w:val="IntenseQuoteChar"/>
    <w:uiPriority w:val="30"/>
    <w:qFormat/>
    <w:rsid w:val="003A4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2D4"/>
    <w:rPr>
      <w:i/>
      <w:iCs/>
      <w:color w:val="0F4761" w:themeColor="accent1" w:themeShade="BF"/>
    </w:rPr>
  </w:style>
  <w:style w:type="character" w:styleId="IntenseReference">
    <w:name w:val="Intense Reference"/>
    <w:basedOn w:val="DefaultParagraphFont"/>
    <w:uiPriority w:val="32"/>
    <w:qFormat/>
    <w:rsid w:val="003A42D4"/>
    <w:rPr>
      <w:b/>
      <w:bCs/>
      <w:smallCaps/>
      <w:color w:val="0F4761" w:themeColor="accent1" w:themeShade="BF"/>
      <w:spacing w:val="5"/>
    </w:rPr>
  </w:style>
  <w:style w:type="paragraph" w:styleId="Footer">
    <w:name w:val="footer"/>
    <w:basedOn w:val="Normal"/>
    <w:link w:val="FooterChar"/>
    <w:uiPriority w:val="99"/>
    <w:unhideWhenUsed/>
    <w:rsid w:val="003A4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07059">
      <w:bodyDiv w:val="1"/>
      <w:marLeft w:val="0"/>
      <w:marRight w:val="0"/>
      <w:marTop w:val="0"/>
      <w:marBottom w:val="0"/>
      <w:divBdr>
        <w:top w:val="none" w:sz="0" w:space="0" w:color="auto"/>
        <w:left w:val="none" w:sz="0" w:space="0" w:color="auto"/>
        <w:bottom w:val="none" w:sz="0" w:space="0" w:color="auto"/>
        <w:right w:val="none" w:sz="0" w:space="0" w:color="auto"/>
      </w:divBdr>
    </w:div>
    <w:div w:id="20179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Eden</dc:creator>
  <cp:keywords/>
  <dc:description/>
  <cp:lastModifiedBy>Turner, Eden</cp:lastModifiedBy>
  <cp:revision>1</cp:revision>
  <dcterms:created xsi:type="dcterms:W3CDTF">2025-08-05T15:39:00Z</dcterms:created>
  <dcterms:modified xsi:type="dcterms:W3CDTF">2025-08-05T15:42:00Z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3ad5f046,ec7b40b,32d38ba1</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2025-08-05T15:42:58Z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00b67783-b4b4-4ccb-8942-97cbc7c26148</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