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71966" w14:textId="77777777" w:rsidR="006A6AFE" w:rsidRPr="006A6AFE" w:rsidRDefault="006A6AFE" w:rsidP="006A6AFE">
      <w:pPr>
        <w:rPr>
          <w:b/>
          <w:bCs/>
        </w:rPr>
      </w:pPr>
      <w:r w:rsidRPr="006A6AFE">
        <w:rPr>
          <w:b/>
          <w:bCs/>
        </w:rPr>
        <w:t>Beyond the Blackout: What Grid Reliability Really Measures, and Why It Matters for the Middle East</w:t>
      </w:r>
    </w:p>
    <w:p w14:paraId="5E1642FB" w14:textId="77777777" w:rsidR="006A6AFE" w:rsidRPr="006A6AFE" w:rsidRDefault="006A6AFE" w:rsidP="006A6AFE">
      <w:r w:rsidRPr="006A6AFE">
        <w:t xml:space="preserve">Public attention to power reliability tends to move in cycles. In the hours after a major outage, reliability dominates the headlines and the political conversation, and everyone asks why the grid wasn't better prepared. Yet in the quiet stretches between events, when a utility tries to spend money on preventive work like vegetation management near lines, the same public often pushes back on the cost and the inconvenience. The result is a familiar swing between under-investment in calm periods and outrage after the fact. For a region as dependent on uninterrupted power as the Gulf, breaking that cycle starts with understanding how reliability is </w:t>
      </w:r>
      <w:proofErr w:type="gramStart"/>
      <w:r w:rsidRPr="006A6AFE">
        <w:t>actually measured</w:t>
      </w:r>
      <w:proofErr w:type="gramEnd"/>
      <w:r w:rsidRPr="006A6AFE">
        <w:t>.</w:t>
      </w:r>
    </w:p>
    <w:p w14:paraId="17148ACD" w14:textId="77777777" w:rsidR="006A6AFE" w:rsidRPr="006A6AFE" w:rsidRDefault="006A6AFE" w:rsidP="006A6AFE">
      <w:pPr>
        <w:rPr>
          <w:b/>
          <w:bCs/>
        </w:rPr>
      </w:pPr>
      <w:r w:rsidRPr="006A6AFE">
        <w:rPr>
          <w:b/>
          <w:bCs/>
        </w:rPr>
        <w:t>From "how good is the grid?" to a number you can manage</w:t>
      </w:r>
    </w:p>
    <w:p w14:paraId="0A1D985E" w14:textId="77777777" w:rsidR="006A6AFE" w:rsidRPr="006A6AFE" w:rsidRDefault="006A6AFE" w:rsidP="006A6AFE">
      <w:r w:rsidRPr="006A6AFE">
        <w:t xml:space="preserve">It's tempting to describe reliability in terms of availability: the percentage of time the lights are on. But that framing is deceptive. A grid that is "99% available" still leaves the average customer without power for roughly three and a half days a year. Even three-nines reliability (99.9%) works out to nearly nine hours of outage annually, and four-nines to under an hour. Availability figures also tell you nothing about what customers </w:t>
      </w:r>
      <w:proofErr w:type="gramStart"/>
      <w:r w:rsidRPr="006A6AFE">
        <w:t>actually experience</w:t>
      </w:r>
      <w:proofErr w:type="gramEnd"/>
      <w:r w:rsidRPr="006A6AFE">
        <w:t>: whether they suffer one long outage or a dozen short ones.</w:t>
      </w:r>
    </w:p>
    <w:p w14:paraId="2C6B02F9" w14:textId="77777777" w:rsidR="006A6AFE" w:rsidRPr="006A6AFE" w:rsidRDefault="006A6AFE" w:rsidP="006A6AFE">
      <w:r w:rsidRPr="006A6AFE">
        <w:t>That's why utilities and regulators worldwide rely on a standardised set of reliability indices, defined under IEEE Standard 1366. Three of them do most of the work:</w:t>
      </w:r>
    </w:p>
    <w:p w14:paraId="205DE679" w14:textId="77777777" w:rsidR="006A6AFE" w:rsidRPr="006A6AFE" w:rsidRDefault="006A6AFE" w:rsidP="006A6AFE">
      <w:pPr>
        <w:numPr>
          <w:ilvl w:val="0"/>
          <w:numId w:val="1"/>
        </w:numPr>
      </w:pPr>
      <w:r w:rsidRPr="006A6AFE">
        <w:rPr>
          <w:b/>
          <w:bCs/>
        </w:rPr>
        <w:t>SAIFI</w:t>
      </w:r>
      <w:r w:rsidRPr="006A6AFE">
        <w:t xml:space="preserve"> (System Average Interruption Frequency Index): how </w:t>
      </w:r>
      <w:r w:rsidRPr="006A6AFE">
        <w:rPr>
          <w:i/>
          <w:iCs/>
        </w:rPr>
        <w:t>often</w:t>
      </w:r>
      <w:r w:rsidRPr="006A6AFE">
        <w:t xml:space="preserve"> the average customer loses power in a year.</w:t>
      </w:r>
    </w:p>
    <w:p w14:paraId="4D5F6588" w14:textId="77777777" w:rsidR="006A6AFE" w:rsidRPr="006A6AFE" w:rsidRDefault="006A6AFE" w:rsidP="006A6AFE">
      <w:pPr>
        <w:numPr>
          <w:ilvl w:val="0"/>
          <w:numId w:val="1"/>
        </w:numPr>
      </w:pPr>
      <w:r w:rsidRPr="006A6AFE">
        <w:rPr>
          <w:b/>
          <w:bCs/>
        </w:rPr>
        <w:t>SAIDI</w:t>
      </w:r>
      <w:r w:rsidRPr="006A6AFE">
        <w:t xml:space="preserve"> (System Average Interruption Duration Index): how </w:t>
      </w:r>
      <w:r w:rsidRPr="006A6AFE">
        <w:rPr>
          <w:i/>
          <w:iCs/>
        </w:rPr>
        <w:t>long</w:t>
      </w:r>
      <w:r w:rsidRPr="006A6AFE">
        <w:t xml:space="preserve"> the average customer is without power over the year.</w:t>
      </w:r>
    </w:p>
    <w:p w14:paraId="5FC6E760" w14:textId="77777777" w:rsidR="006A6AFE" w:rsidRPr="006A6AFE" w:rsidRDefault="006A6AFE" w:rsidP="006A6AFE">
      <w:pPr>
        <w:numPr>
          <w:ilvl w:val="0"/>
          <w:numId w:val="1"/>
        </w:numPr>
      </w:pPr>
      <w:r w:rsidRPr="006A6AFE">
        <w:rPr>
          <w:b/>
          <w:bCs/>
        </w:rPr>
        <w:t>CAIDI</w:t>
      </w:r>
      <w:r w:rsidRPr="006A6AFE">
        <w:t xml:space="preserve"> (Customer Average Interruption Duration Index): the average time to </w:t>
      </w:r>
      <w:r w:rsidRPr="006A6AFE">
        <w:rPr>
          <w:i/>
          <w:iCs/>
        </w:rPr>
        <w:t>restore</w:t>
      </w:r>
      <w:r w:rsidRPr="006A6AFE">
        <w:t xml:space="preserve"> service once an outage occurs, which reflects how quickly a utility responds.</w:t>
      </w:r>
    </w:p>
    <w:p w14:paraId="6CA726F6" w14:textId="77777777" w:rsidR="006A6AFE" w:rsidRPr="006A6AFE" w:rsidRDefault="006A6AFE" w:rsidP="006A6AFE">
      <w:r w:rsidRPr="006A6AFE">
        <w:t xml:space="preserve">A key feature of these indices is that every customer counts equally: a residential household consuming a few kilowatts is weighted the same as an industrial plant drawing </w:t>
      </w:r>
      <w:proofErr w:type="gramStart"/>
      <w:r w:rsidRPr="006A6AFE">
        <w:t>megawatts</w:t>
      </w:r>
      <w:proofErr w:type="gramEnd"/>
      <w:r w:rsidRPr="006A6AFE">
        <w:t>. That makes the metrics comparable across feeders, substations, customer classes, or an entire national grid, and it's why energy regulators require utilities to report them annually. When the numbers deteriorate, the regulator starts asking whether enough is being invested in the network.</w:t>
      </w:r>
    </w:p>
    <w:p w14:paraId="638EAA72" w14:textId="77777777" w:rsidR="006A6AFE" w:rsidRPr="006A6AFE" w:rsidRDefault="006A6AFE" w:rsidP="006A6AFE">
      <w:pPr>
        <w:rPr>
          <w:b/>
          <w:bCs/>
        </w:rPr>
      </w:pPr>
      <w:r w:rsidRPr="006A6AFE">
        <w:rPr>
          <w:b/>
          <w:bCs/>
        </w:rPr>
        <w:t>Momentary versus sustained, and where reliability is really won</w:t>
      </w:r>
    </w:p>
    <w:p w14:paraId="732DB3A6" w14:textId="77777777" w:rsidR="006A6AFE" w:rsidRPr="006A6AFE" w:rsidRDefault="006A6AFE" w:rsidP="006A6AFE">
      <w:r w:rsidRPr="006A6AFE">
        <w:t xml:space="preserve">Not every interruption is treated the same. A brief dip, the flicker you see when an upstream device operates and quickly recloses, is a </w:t>
      </w:r>
      <w:r w:rsidRPr="006A6AFE">
        <w:rPr>
          <w:i/>
          <w:iCs/>
        </w:rPr>
        <w:t>momentary</w:t>
      </w:r>
      <w:r w:rsidRPr="006A6AFE">
        <w:t xml:space="preserve"> event, typically under five minutes, and usually doesn't count against a utility's core indices (though it still </w:t>
      </w:r>
      <w:r w:rsidRPr="006A6AFE">
        <w:lastRenderedPageBreak/>
        <w:t xml:space="preserve">matters for sensitive industrial and commercial loads). A </w:t>
      </w:r>
      <w:r w:rsidRPr="006A6AFE">
        <w:rPr>
          <w:i/>
          <w:iCs/>
        </w:rPr>
        <w:t>sustained</w:t>
      </w:r>
      <w:r w:rsidRPr="006A6AFE">
        <w:t xml:space="preserve"> interruption is longer, generally requires a crew to locate and repair a fault, and is what the headline SAIDI and SAIFI figures are built on.</w:t>
      </w:r>
    </w:p>
    <w:p w14:paraId="3B51D826" w14:textId="77777777" w:rsidR="006A6AFE" w:rsidRPr="006A6AFE" w:rsidRDefault="006A6AFE" w:rsidP="006A6AFE">
      <w:r w:rsidRPr="006A6AFE">
        <w:t>Crucially, most of these sustained outages don't originate in the transmission network or at substations. Transmission systems are built with loops and redundancy, so losing one line rarely drops customers. The real exposure sits on the distribution feeders, the overhead lines and cables closest to customers, where faults from weather, equipment failure, or wildlife are simply a fact of life. Improving reliability, then, comes down to a few practical levers: reducing the number of faults, shortening their duration, and restoring service faster through better field response or automated switching that can isolate a fault and re-route power around it.</w:t>
      </w:r>
    </w:p>
    <w:p w14:paraId="4DDDF28F" w14:textId="77777777" w:rsidR="006A6AFE" w:rsidRPr="006A6AFE" w:rsidRDefault="006A6AFE" w:rsidP="006A6AFE">
      <w:r w:rsidRPr="006A6AFE">
        <w:t xml:space="preserve">There's also a growing distinction between ordinary "non-major" events and large-scale disasters (severe storms, floods, ice events) that overwhelm a utility for days. Historically these were rare enough that grids weren't hardened against them. But with extreme weather appearing to grow more frequent, the industry conversation has shifted towards </w:t>
      </w:r>
      <w:r w:rsidRPr="006A6AFE">
        <w:rPr>
          <w:i/>
          <w:iCs/>
        </w:rPr>
        <w:t>resilience</w:t>
      </w:r>
      <w:r w:rsidRPr="006A6AFE">
        <w:t>: designing networks to lose fewer customers when catastrophe strikes and to restore them faster afterwards.</w:t>
      </w:r>
    </w:p>
    <w:p w14:paraId="56AF4019" w14:textId="77777777" w:rsidR="006A6AFE" w:rsidRPr="006A6AFE" w:rsidRDefault="006A6AFE" w:rsidP="006A6AFE">
      <w:pPr>
        <w:rPr>
          <w:b/>
          <w:bCs/>
        </w:rPr>
      </w:pPr>
      <w:r w:rsidRPr="006A6AFE">
        <w:rPr>
          <w:b/>
          <w:bCs/>
        </w:rPr>
        <w:t>Why this matters more, not less, as the Gulf decarbonises</w:t>
      </w:r>
    </w:p>
    <w:p w14:paraId="1C3AEB5B" w14:textId="77777777" w:rsidR="006A6AFE" w:rsidRPr="006A6AFE" w:rsidRDefault="006A6AFE" w:rsidP="006A6AFE">
      <w:r w:rsidRPr="006A6AFE">
        <w:t>For Middle East utilities, reliability metrics are becoming more central precisely as the grid grows more complex. The region's ambitions are significant: Saudi Arabia aims to generate 50 percent of its electricity from renewables by 2030, while the UAE targets 44 percent clean energy in its mix by 2050 and Oman is pursuing 20 percent renewables in power generation by 2030.</w:t>
      </w:r>
    </w:p>
    <w:p w14:paraId="1B63C798" w14:textId="77777777" w:rsidR="006A6AFE" w:rsidRPr="006A6AFE" w:rsidRDefault="006A6AFE" w:rsidP="006A6AFE">
      <w:r w:rsidRPr="006A6AFE">
        <w:t>Integrating that much solar and wind changes the reliability challenge. Renewable output fluctuates with the weather, introducing greater variability into the system. As conventional gas turbines run less, the grid also loses some of the rotational inertia that historically kept voltage and frequency stable, so operators must add new forms of compensation and storage, from grid-scale batteries to projects like DEWA's pumped-hydro plant in Hatta. Grid stability challenges emerge as renewable penetration increases, particularly during peak generation periods when supply may exceed demand.</w:t>
      </w:r>
    </w:p>
    <w:p w14:paraId="5DECDB46" w14:textId="77777777" w:rsidR="006A6AFE" w:rsidRPr="006A6AFE" w:rsidRDefault="006A6AFE" w:rsidP="006A6AFE">
      <w:r w:rsidRPr="006A6AFE">
        <w:t xml:space="preserve">The regional answer has been to build resilience across borders. Since 2009, the GCC Interconnection Authority has linked the grids of the UAE, Bahrain, Saudi Arabia, Oman, Qatar and Kuwait into a single network that acts as a safety net against blackouts. That interconnection has already delivered economic savings of around $540 million and enabled electricity exchanges of nearly 1,800 gigawatt-hours, and it is still expanding: the UAE link alone is being upgraded from 2,400 MW to 3,500 MW. A new UAE-Oman </w:t>
      </w:r>
      <w:r w:rsidRPr="006A6AFE">
        <w:lastRenderedPageBreak/>
        <w:t>interconnection is expected to further strengthen network reliability, improve emergency support, and facilitate renewable integration.</w:t>
      </w:r>
    </w:p>
    <w:p w14:paraId="62A4EA17" w14:textId="77777777" w:rsidR="006A6AFE" w:rsidRPr="006A6AFE" w:rsidRDefault="006A6AFE" w:rsidP="006A6AFE">
      <w:r w:rsidRPr="006A6AFE">
        <w:t xml:space="preserve">Every one of these investments ultimately expresses itself in the same place: the reliability indices. SAIDI, SAIFI and CAIDI are how a utility proves that money spent on automation, interconnection, storage, and smarter operations is </w:t>
      </w:r>
      <w:proofErr w:type="gramStart"/>
      <w:r w:rsidRPr="006A6AFE">
        <w:t>actually keeping</w:t>
      </w:r>
      <w:proofErr w:type="gramEnd"/>
      <w:r w:rsidRPr="006A6AFE">
        <w:t xml:space="preserve"> the lights on.</w:t>
      </w:r>
    </w:p>
    <w:p w14:paraId="6BB55024" w14:textId="77777777" w:rsidR="006A6AFE" w:rsidRPr="006A6AFE" w:rsidRDefault="006A6AFE" w:rsidP="006A6AFE">
      <w:pPr>
        <w:rPr>
          <w:b/>
          <w:bCs/>
        </w:rPr>
      </w:pPr>
      <w:r w:rsidRPr="006A6AFE">
        <w:rPr>
          <w:b/>
          <w:bCs/>
        </w:rPr>
        <w:t>Turning measurement into advantage</w:t>
      </w:r>
    </w:p>
    <w:p w14:paraId="25D0627A" w14:textId="77777777" w:rsidR="006A6AFE" w:rsidRPr="006A6AFE" w:rsidRDefault="006A6AFE" w:rsidP="006A6AFE">
      <w:r w:rsidRPr="006A6AFE">
        <w:t>Understanding these metrics isn't just a technical exercise; it's the foundation of credible decision-making in grid planning, operations, and policy. As the Middle East's energy transition accelerates, the professionals who can read reliability data, benchmark it against international standards, and translate it into targeted improvements will be the ones driving resilient, future-ready power systems.</w:t>
      </w:r>
    </w:p>
    <w:p w14:paraId="7FEA9D7A" w14:textId="235035DA" w:rsidR="00EB7F1C" w:rsidRDefault="006A6AFE">
      <w:r w:rsidRPr="006A6AFE">
        <w:t xml:space="preserve">That is exactly the capability Informa Connect Academy's </w:t>
      </w:r>
      <w:hyperlink r:id="rId7" w:history="1">
        <w:r w:rsidRPr="006A6AFE">
          <w:rPr>
            <w:rStyle w:val="Hyperlink"/>
            <w:b/>
            <w:bCs/>
          </w:rPr>
          <w:t>Technical Analysis &amp; Reliability of Power Systems</w:t>
        </w:r>
      </w:hyperlink>
      <w:r w:rsidRPr="006A6AFE">
        <w:t xml:space="preserve"> course is built to develop. It equips engineers, analysts and decision-makers across the oil, gas and renewable sectors to apply reliability metrics like SAIDI, SAIFI and CAIDI, optimise grid performance, and </w:t>
      </w:r>
      <w:proofErr w:type="spellStart"/>
      <w:r w:rsidRPr="006A6AFE">
        <w:t>strategise</w:t>
      </w:r>
      <w:proofErr w:type="spellEnd"/>
      <w:r w:rsidRPr="006A6AFE">
        <w:t xml:space="preserve"> for the region's electricity-sector transformation.</w:t>
      </w:r>
    </w:p>
    <w:sectPr w:rsidR="00EB7F1C">
      <w:footerReference w:type="even" r:id="rId8"/>
      <w:footerReference w:type="default" r:id="rId9"/>
      <w:foot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DD821" w14:textId="77777777" w:rsidR="00074CBC" w:rsidRDefault="00074CBC" w:rsidP="006A6AFE">
      <w:pPr>
        <w:spacing w:after="0" w:line="240" w:lineRule="auto"/>
      </w:pPr>
      <w:r>
        <w:separator/>
      </w:r>
    </w:p>
  </w:endnote>
  <w:endnote w:type="continuationSeparator" w:id="0">
    <w:p w14:paraId="080F79B4" w14:textId="77777777" w:rsidR="00074CBC" w:rsidRDefault="00074CBC" w:rsidP="006A6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29350" w14:textId="544E3A8C" w:rsidR="006A6AFE" w:rsidRDefault="006A6AFE">
    <w:pPr>
      <w:pStyle w:val="Footer"/>
    </w:pPr>
    <w:r>
      <w:rPr>
        <w:noProof/>
      </w:rPr>
      <mc:AlternateContent>
        <mc:Choice Requires="wps">
          <w:drawing>
            <wp:anchor distT="0" distB="0" distL="0" distR="0" simplePos="0" relativeHeight="251659264" behindDoc="0" locked="0" layoutInCell="1" allowOverlap="1" wp14:anchorId="5828FE86" wp14:editId="79794313">
              <wp:simplePos x="635" y="635"/>
              <wp:positionH relativeFrom="page">
                <wp:align>left</wp:align>
              </wp:positionH>
              <wp:positionV relativeFrom="page">
                <wp:align>bottom</wp:align>
              </wp:positionV>
              <wp:extent cx="2085975" cy="346075"/>
              <wp:effectExtent l="0" t="0" r="9525" b="0"/>
              <wp:wrapNone/>
              <wp:docPr id="557790817" name="Text Box 2"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85975" cy="346075"/>
                      </a:xfrm>
                      <a:prstGeom prst="rect">
                        <a:avLst/>
                      </a:prstGeom>
                      <a:noFill/>
                      <a:ln>
                        <a:noFill/>
                      </a:ln>
                    </wps:spPr>
                    <wps:txbx>
                      <w:txbxContent>
                        <w:p w14:paraId="258A3594" w14:textId="4236332D" w:rsidR="006A6AFE" w:rsidRPr="006A6AFE" w:rsidRDefault="006A6AFE" w:rsidP="006A6AFE">
                          <w:pPr>
                            <w:spacing w:after="0"/>
                            <w:rPr>
                              <w:rFonts w:ascii="Rockwell" w:eastAsia="Rockwell" w:hAnsi="Rockwell" w:cs="Rockwell"/>
                              <w:noProof/>
                              <w:color w:val="0078D7"/>
                              <w:sz w:val="18"/>
                              <w:szCs w:val="18"/>
                            </w:rPr>
                          </w:pPr>
                          <w:r w:rsidRPr="006A6AFE">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828FE86" id="_x0000_t202" coordsize="21600,21600" o:spt="202" path="m,l,21600r21600,l21600,xe">
              <v:stroke joinstyle="miter"/>
              <v:path gradientshapeok="t" o:connecttype="rect"/>
            </v:shapetype>
            <v:shape id="Text Box 2" o:spid="_x0000_s1026" type="#_x0000_t202" alt="Information Classification: General" style="position:absolute;margin-left:0;margin-top:0;width:164.25pt;height:27.2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" filled="f" stroked="f">
              <v:fill o:detectmouseclick="t"/>
              <v:textbox style="mso-fit-shape-to-text:t" inset="20pt,0,0,15pt">
                <w:txbxContent>
                  <w:p w14:paraId="258A3594" w14:textId="4236332D" w:rsidR="006A6AFE" w:rsidRPr="006A6AFE" w:rsidRDefault="006A6AFE" w:rsidP="006A6AFE">
                    <w:pPr>
                      <w:spacing w:after="0"/>
                      <w:rPr>
                        <w:rFonts w:ascii="Rockwell" w:eastAsia="Rockwell" w:hAnsi="Rockwell" w:cs="Rockwell"/>
                        <w:noProof/>
                        <w:color w:val="0078D7"/>
                        <w:sz w:val="18"/>
                        <w:szCs w:val="18"/>
                      </w:rPr>
                    </w:pPr>
                    <w:r w:rsidRPr="006A6AFE">
                      <w:rPr>
                        <w:rFonts w:ascii="Rockwell" w:eastAsia="Rockwell" w:hAnsi="Rockwell" w:cs="Rockwell"/>
                        <w:noProof/>
                        <w:color w:val="0078D7"/>
                        <w:sz w:val="18"/>
                        <w:szCs w:val="18"/>
                      </w:rPr>
                      <w:t>Information Classification: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A8942" w14:textId="2DD7CC01" w:rsidR="006A6AFE" w:rsidRDefault="006A6AFE">
    <w:pPr>
      <w:pStyle w:val="Footer"/>
    </w:pPr>
    <w:r>
      <w:rPr>
        <w:noProof/>
      </w:rPr>
      <mc:AlternateContent>
        <mc:Choice Requires="wps">
          <w:drawing>
            <wp:anchor distT="0" distB="0" distL="0" distR="0" simplePos="0" relativeHeight="251660288" behindDoc="0" locked="0" layoutInCell="1" allowOverlap="1" wp14:anchorId="4ABA17A2" wp14:editId="4605BA08">
              <wp:simplePos x="914400" y="10058400"/>
              <wp:positionH relativeFrom="page">
                <wp:align>left</wp:align>
              </wp:positionH>
              <wp:positionV relativeFrom="page">
                <wp:align>bottom</wp:align>
              </wp:positionV>
              <wp:extent cx="2085975" cy="346075"/>
              <wp:effectExtent l="0" t="0" r="9525" b="0"/>
              <wp:wrapNone/>
              <wp:docPr id="2058503005" name="Text Box 3"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85975" cy="346075"/>
                      </a:xfrm>
                      <a:prstGeom prst="rect">
                        <a:avLst/>
                      </a:prstGeom>
                      <a:noFill/>
                      <a:ln>
                        <a:noFill/>
                      </a:ln>
                    </wps:spPr>
                    <wps:txbx>
                      <w:txbxContent>
                        <w:p w14:paraId="17854C40" w14:textId="6FCAEFA4" w:rsidR="006A6AFE" w:rsidRPr="006A6AFE" w:rsidRDefault="006A6AFE" w:rsidP="006A6AFE">
                          <w:pPr>
                            <w:spacing w:after="0"/>
                            <w:rPr>
                              <w:rFonts w:ascii="Rockwell" w:eastAsia="Rockwell" w:hAnsi="Rockwell" w:cs="Rockwell"/>
                              <w:noProof/>
                              <w:color w:val="0078D7"/>
                              <w:sz w:val="18"/>
                              <w:szCs w:val="18"/>
                            </w:rPr>
                          </w:pPr>
                          <w:r w:rsidRPr="006A6AFE">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ABA17A2" id="_x0000_t202" coordsize="21600,21600" o:spt="202" path="m,l,21600r21600,l21600,xe">
              <v:stroke joinstyle="miter"/>
              <v:path gradientshapeok="t" o:connecttype="rect"/>
            </v:shapetype>
            <v:shape id="Text Box 3" o:spid="_x0000_s1027" type="#_x0000_t202" alt="Information Classification: General" style="position:absolute;margin-left:0;margin-top:0;width:164.25pt;height:27.2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" filled="f" stroked="f">
              <v:fill o:detectmouseclick="t"/>
              <v:textbox style="mso-fit-shape-to-text:t" inset="20pt,0,0,15pt">
                <w:txbxContent>
                  <w:p w14:paraId="17854C40" w14:textId="6FCAEFA4" w:rsidR="006A6AFE" w:rsidRPr="006A6AFE" w:rsidRDefault="006A6AFE" w:rsidP="006A6AFE">
                    <w:pPr>
                      <w:spacing w:after="0"/>
                      <w:rPr>
                        <w:rFonts w:ascii="Rockwell" w:eastAsia="Rockwell" w:hAnsi="Rockwell" w:cs="Rockwell"/>
                        <w:noProof/>
                        <w:color w:val="0078D7"/>
                        <w:sz w:val="18"/>
                        <w:szCs w:val="18"/>
                      </w:rPr>
                    </w:pPr>
                    <w:r w:rsidRPr="006A6AFE">
                      <w:rPr>
                        <w:rFonts w:ascii="Rockwell" w:eastAsia="Rockwell" w:hAnsi="Rockwell" w:cs="Rockwell"/>
                        <w:noProof/>
                        <w:color w:val="0078D7"/>
                        <w:sz w:val="18"/>
                        <w:szCs w:val="18"/>
                      </w:rPr>
                      <w:t>Information Classification: 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C3B1B" w14:textId="2EF9A60E" w:rsidR="006A6AFE" w:rsidRDefault="006A6AFE">
    <w:pPr>
      <w:pStyle w:val="Footer"/>
    </w:pPr>
    <w:r>
      <w:rPr>
        <w:noProof/>
      </w:rPr>
      <mc:AlternateContent>
        <mc:Choice Requires="wps">
          <w:drawing>
            <wp:anchor distT="0" distB="0" distL="0" distR="0" simplePos="0" relativeHeight="251658240" behindDoc="0" locked="0" layoutInCell="1" allowOverlap="1" wp14:anchorId="3A6437C9" wp14:editId="42A2784B">
              <wp:simplePos x="635" y="635"/>
              <wp:positionH relativeFrom="page">
                <wp:align>left</wp:align>
              </wp:positionH>
              <wp:positionV relativeFrom="page">
                <wp:align>bottom</wp:align>
              </wp:positionV>
              <wp:extent cx="2085975" cy="346075"/>
              <wp:effectExtent l="0" t="0" r="9525" b="0"/>
              <wp:wrapNone/>
              <wp:docPr id="1331996065" name="Text Box 1"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85975" cy="346075"/>
                      </a:xfrm>
                      <a:prstGeom prst="rect">
                        <a:avLst/>
                      </a:prstGeom>
                      <a:noFill/>
                      <a:ln>
                        <a:noFill/>
                      </a:ln>
                    </wps:spPr>
                    <wps:txbx>
                      <w:txbxContent>
                        <w:p w14:paraId="59D46F7E" w14:textId="45C6082B" w:rsidR="006A6AFE" w:rsidRPr="006A6AFE" w:rsidRDefault="006A6AFE" w:rsidP="006A6AFE">
                          <w:pPr>
                            <w:spacing w:after="0"/>
                            <w:rPr>
                              <w:rFonts w:ascii="Rockwell" w:eastAsia="Rockwell" w:hAnsi="Rockwell" w:cs="Rockwell"/>
                              <w:noProof/>
                              <w:color w:val="0078D7"/>
                              <w:sz w:val="18"/>
                              <w:szCs w:val="18"/>
                            </w:rPr>
                          </w:pPr>
                          <w:r w:rsidRPr="006A6AFE">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A6437C9" id="_x0000_t202" coordsize="21600,21600" o:spt="202" path="m,l,21600r21600,l21600,xe">
              <v:stroke joinstyle="miter"/>
              <v:path gradientshapeok="t" o:connecttype="rect"/>
            </v:shapetype>
            <v:shape id="Text Box 1" o:spid="_x0000_s1028" type="#_x0000_t202" alt="Information Classification: General" style="position:absolute;margin-left:0;margin-top:0;width:164.25pt;height:27.2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" filled="f" stroked="f">
              <v:fill o:detectmouseclick="t"/>
              <v:textbox style="mso-fit-shape-to-text:t" inset="20pt,0,0,15pt">
                <w:txbxContent>
                  <w:p w14:paraId="59D46F7E" w14:textId="45C6082B" w:rsidR="006A6AFE" w:rsidRPr="006A6AFE" w:rsidRDefault="006A6AFE" w:rsidP="006A6AFE">
                    <w:pPr>
                      <w:spacing w:after="0"/>
                      <w:rPr>
                        <w:rFonts w:ascii="Rockwell" w:eastAsia="Rockwell" w:hAnsi="Rockwell" w:cs="Rockwell"/>
                        <w:noProof/>
                        <w:color w:val="0078D7"/>
                        <w:sz w:val="18"/>
                        <w:szCs w:val="18"/>
                      </w:rPr>
                    </w:pPr>
                    <w:r w:rsidRPr="006A6AFE">
                      <w:rPr>
                        <w:rFonts w:ascii="Rockwell" w:eastAsia="Rockwell" w:hAnsi="Rockwell" w:cs="Rockwell"/>
                        <w:noProof/>
                        <w:color w:val="0078D7"/>
                        <w:sz w:val="18"/>
                        <w:szCs w:val="18"/>
                      </w:rPr>
                      <w:t>Information Classification: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EDC2E" w14:textId="77777777" w:rsidR="00074CBC" w:rsidRDefault="00074CBC" w:rsidP="006A6AFE">
      <w:pPr>
        <w:spacing w:after="0" w:line="240" w:lineRule="auto"/>
      </w:pPr>
      <w:r>
        <w:separator/>
      </w:r>
    </w:p>
  </w:footnote>
  <w:footnote w:type="continuationSeparator" w:id="0">
    <w:p w14:paraId="1B1947FB" w14:textId="77777777" w:rsidR="00074CBC" w:rsidRDefault="00074CBC" w:rsidP="006A6A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4542C0"/>
    <w:multiLevelType w:val="multilevel"/>
    <w:tmpl w:val="F54E5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9363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AFE"/>
    <w:rsid w:val="00074CBC"/>
    <w:rsid w:val="005252EE"/>
    <w:rsid w:val="006A6AFE"/>
    <w:rsid w:val="00DE7186"/>
    <w:rsid w:val="00E00AA9"/>
    <w:rsid w:val="00EB7F1C"/>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3B2FA"/>
  <w15:chartTrackingRefBased/>
  <w15:docId w15:val="{7AB338AF-7139-4F80-86B4-A6AB7C114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6A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6A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6A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6A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6A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6A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6A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6A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6A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6A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6A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6A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6A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6A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6A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6A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6A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6AFE"/>
    <w:rPr>
      <w:rFonts w:eastAsiaTheme="majorEastAsia" w:cstheme="majorBidi"/>
      <w:color w:val="272727" w:themeColor="text1" w:themeTint="D8"/>
    </w:rPr>
  </w:style>
  <w:style w:type="paragraph" w:styleId="Title">
    <w:name w:val="Title"/>
    <w:basedOn w:val="Normal"/>
    <w:next w:val="Normal"/>
    <w:link w:val="TitleChar"/>
    <w:uiPriority w:val="10"/>
    <w:qFormat/>
    <w:rsid w:val="006A6A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6A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6A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6A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6AFE"/>
    <w:pPr>
      <w:spacing w:before="160"/>
      <w:jc w:val="center"/>
    </w:pPr>
    <w:rPr>
      <w:i/>
      <w:iCs/>
      <w:color w:val="404040" w:themeColor="text1" w:themeTint="BF"/>
    </w:rPr>
  </w:style>
  <w:style w:type="character" w:customStyle="1" w:styleId="QuoteChar">
    <w:name w:val="Quote Char"/>
    <w:basedOn w:val="DefaultParagraphFont"/>
    <w:link w:val="Quote"/>
    <w:uiPriority w:val="29"/>
    <w:rsid w:val="006A6AFE"/>
    <w:rPr>
      <w:i/>
      <w:iCs/>
      <w:color w:val="404040" w:themeColor="text1" w:themeTint="BF"/>
    </w:rPr>
  </w:style>
  <w:style w:type="paragraph" w:styleId="ListParagraph">
    <w:name w:val="List Paragraph"/>
    <w:basedOn w:val="Normal"/>
    <w:uiPriority w:val="34"/>
    <w:qFormat/>
    <w:rsid w:val="006A6AFE"/>
    <w:pPr>
      <w:ind w:left="720"/>
      <w:contextualSpacing/>
    </w:pPr>
  </w:style>
  <w:style w:type="character" w:styleId="IntenseEmphasis">
    <w:name w:val="Intense Emphasis"/>
    <w:basedOn w:val="DefaultParagraphFont"/>
    <w:uiPriority w:val="21"/>
    <w:qFormat/>
    <w:rsid w:val="006A6AFE"/>
    <w:rPr>
      <w:i/>
      <w:iCs/>
      <w:color w:val="0F4761" w:themeColor="accent1" w:themeShade="BF"/>
    </w:rPr>
  </w:style>
  <w:style w:type="paragraph" w:styleId="IntenseQuote">
    <w:name w:val="Intense Quote"/>
    <w:basedOn w:val="Normal"/>
    <w:next w:val="Normal"/>
    <w:link w:val="IntenseQuoteChar"/>
    <w:uiPriority w:val="30"/>
    <w:qFormat/>
    <w:rsid w:val="006A6A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6AFE"/>
    <w:rPr>
      <w:i/>
      <w:iCs/>
      <w:color w:val="0F4761" w:themeColor="accent1" w:themeShade="BF"/>
    </w:rPr>
  </w:style>
  <w:style w:type="character" w:styleId="IntenseReference">
    <w:name w:val="Intense Reference"/>
    <w:basedOn w:val="DefaultParagraphFont"/>
    <w:uiPriority w:val="32"/>
    <w:qFormat/>
    <w:rsid w:val="006A6AFE"/>
    <w:rPr>
      <w:b/>
      <w:bCs/>
      <w:smallCaps/>
      <w:color w:val="0F4761" w:themeColor="accent1" w:themeShade="BF"/>
      <w:spacing w:val="5"/>
    </w:rPr>
  </w:style>
  <w:style w:type="character" w:styleId="Hyperlink">
    <w:name w:val="Hyperlink"/>
    <w:basedOn w:val="DefaultParagraphFont"/>
    <w:uiPriority w:val="99"/>
    <w:unhideWhenUsed/>
    <w:rsid w:val="006A6AFE"/>
    <w:rPr>
      <w:color w:val="467886" w:themeColor="hyperlink"/>
      <w:u w:val="single"/>
    </w:rPr>
  </w:style>
  <w:style w:type="character" w:styleId="UnresolvedMention">
    <w:name w:val="Unresolved Mention"/>
    <w:basedOn w:val="DefaultParagraphFont"/>
    <w:uiPriority w:val="99"/>
    <w:semiHidden/>
    <w:unhideWhenUsed/>
    <w:rsid w:val="006A6AFE"/>
    <w:rPr>
      <w:color w:val="605E5C"/>
      <w:shd w:val="clear" w:color="auto" w:fill="E1DFDD"/>
    </w:rPr>
  </w:style>
  <w:style w:type="paragraph" w:styleId="Footer">
    <w:name w:val="footer"/>
    <w:basedOn w:val="Normal"/>
    <w:link w:val="FooterChar"/>
    <w:uiPriority w:val="99"/>
    <w:unhideWhenUsed/>
    <w:rsid w:val="006A6A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6A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informaconnect.com/academ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1022</Words>
  <Characters>5829</Characters>
  <Application>Microsoft Office Word</Application>
  <DocSecurity>0</DocSecurity>
  <Lines>48</Lines>
  <Paragraphs>13</Paragraphs>
  <ScaleCrop>false</ScaleCrop>
  <Company>Informa plc</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Furtado, Rayyan</dc:creator>
  <cp:keywords/>
  <dc:description/>
  <cp:lastModifiedBy>Furtado, Rayyan</cp:lastModifiedBy>
  <cp:revision>2</cp:revision>
  <dcterms:created xsi:type="dcterms:W3CDTF">2026-09-18T07:48:00Z</dcterms:created>
  <dcterms:modified xsi:type="dcterms:W3CDTF">2026-09-18T07:48:00Z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4f64a5a1,213f3661,7ab2435d</vt:lpwstr>
  </property>
  <property fmtid="{D5CDD505-2E9C-101B-9397-08002B2CF9AE}" pid="3" name="ClassificationContentMarkingFooterFontProps">
    <vt:lpwstr>#0078d7,9,Rockwell</vt:lpwstr>
  </property>
  <property fmtid="{D5CDD505-2E9C-101B-9397-08002B2CF9AE}" pid="4" name="ClassificationContentMarkingFooterText">
    <vt:lpwstr>Information Classification: General</vt:lpwstr>
  </property>
  <property fmtid="{D5CDD505-2E9C-101B-9397-08002B2CF9AE}" pid="5" name="MSIP_Label_2bbab825-a111-45e4-86a1-18cee0005896_Enabled">
    <vt:lpwstr>true</vt:lpwstr>
  </property>
  <property fmtid="{D5CDD505-2E9C-101B-9397-08002B2CF9AE}" pid="6" name="MSIP_Label_2bbab825-a111-45e4-86a1-18cee0005896_SetDate">
    <vt:lpwstr>2026-09-18T07:06:27Z</vt:lpwstr>
  </property>
  <property fmtid="{D5CDD505-2E9C-101B-9397-08002B2CF9AE}" pid="7" name="MSIP_Label_2bbab825-a111-45e4-86a1-18cee0005896_Method">
    <vt:lpwstr>Standard</vt:lpwstr>
  </property>
  <property fmtid="{D5CDD505-2E9C-101B-9397-08002B2CF9AE}" pid="8" name="MSIP_Label_2bbab825-a111-45e4-86a1-18cee0005896_Name">
    <vt:lpwstr>2bbab825-a111-45e4-86a1-18cee0005896</vt:lpwstr>
  </property>
  <property fmtid="{D5CDD505-2E9C-101B-9397-08002B2CF9AE}" pid="9" name="MSIP_Label_2bbab825-a111-45e4-86a1-18cee0005896_SiteId">
    <vt:lpwstr>2567d566-604c-408a-8a60-55d0dc9d9d6b</vt:lpwstr>
  </property>
  <property fmtid="{D5CDD505-2E9C-101B-9397-08002B2CF9AE}" pid="10" name="MSIP_Label_2bbab825-a111-45e4-86a1-18cee0005896_ActionId">
    <vt:lpwstr>bcfe068a-5294-4166-a94c-324cdd6abee0</vt:lpwstr>
  </property>
  <property fmtid="{D5CDD505-2E9C-101B-9397-08002B2CF9AE}" pid="11" name="MSIP_Label_2bbab825-a111-45e4-86a1-18cee0005896_ContentBits">
    <vt:lpwstr>2</vt:lpwstr>
  </property>
  <property fmtid="{D5CDD505-2E9C-101B-9397-08002B2CF9AE}" pid="12" name="MSIP_Label_2bbab825-a111-45e4-86a1-18cee0005896_Tag">
    <vt:lpwstr>10, 3, 0, 1</vt:lpwstr>
  </property>
</Properties>
</file>